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EA" w:rsidRPr="00470B29" w:rsidRDefault="00A52AEA" w:rsidP="00A52AEA">
      <w:pPr>
        <w:jc w:val="center"/>
        <w:rPr>
          <w:b/>
          <w:color w:val="000000" w:themeColor="text1"/>
        </w:rPr>
      </w:pPr>
      <w:r w:rsidRPr="00470B29">
        <w:rPr>
          <w:b/>
          <w:color w:val="000000" w:themeColor="text1"/>
        </w:rPr>
        <w:t>SUPERIOR COURT FOR THE DISTRICT OF COLUMBIA</w:t>
      </w:r>
    </w:p>
    <w:p w:rsidR="00A52AEA" w:rsidRPr="00470B29" w:rsidRDefault="00A52AEA" w:rsidP="00A52AEA">
      <w:pPr>
        <w:jc w:val="center"/>
        <w:rPr>
          <w:b/>
          <w:color w:val="000000" w:themeColor="text1"/>
        </w:rPr>
      </w:pPr>
      <w:r w:rsidRPr="00470B29">
        <w:rPr>
          <w:b/>
          <w:color w:val="000000" w:themeColor="text1"/>
        </w:rPr>
        <w:t>CIVIL DIVISION</w:t>
      </w:r>
    </w:p>
    <w:p w:rsidR="00A52AEA" w:rsidRPr="00470B29" w:rsidRDefault="00A52AEA" w:rsidP="00A52AEA">
      <w:pPr>
        <w:rPr>
          <w:color w:val="000000" w:themeColor="text1"/>
        </w:rPr>
      </w:pPr>
    </w:p>
    <w:p w:rsidR="00A52AEA" w:rsidRPr="00470B29" w:rsidRDefault="00A52AEA" w:rsidP="00A52AEA">
      <w:pPr>
        <w:rPr>
          <w:b/>
          <w:color w:val="000000" w:themeColor="text1"/>
        </w:rPr>
      </w:pPr>
      <w:r w:rsidRPr="00470B29">
        <w:rPr>
          <w:b/>
          <w:color w:val="000000" w:themeColor="text1"/>
        </w:rPr>
        <w:t xml:space="preserve">Christine Gambino, </w:t>
      </w:r>
      <w:r w:rsidRPr="00470B29">
        <w:rPr>
          <w:b/>
          <w:i/>
          <w:color w:val="000000" w:themeColor="text1"/>
        </w:rPr>
        <w:t>et al.</w:t>
      </w:r>
      <w:r w:rsidRPr="00470B29">
        <w:rPr>
          <w:b/>
          <w:color w:val="000000" w:themeColor="text1"/>
        </w:rPr>
        <w:t xml:space="preserve">, </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 xml:space="preserve">: </w:t>
      </w:r>
    </w:p>
    <w:p w:rsidR="00A52AEA" w:rsidRPr="00470B29" w:rsidRDefault="00A52AEA" w:rsidP="00A52AEA">
      <w:pPr>
        <w:rPr>
          <w:b/>
          <w:color w:val="000000" w:themeColor="text1"/>
        </w:rPr>
      </w:pP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b/>
          <w:color w:val="000000" w:themeColor="text1"/>
        </w:rPr>
        <w:t>:</w:t>
      </w:r>
    </w:p>
    <w:p w:rsidR="00A52AEA" w:rsidRPr="00470B29" w:rsidRDefault="00A52AEA" w:rsidP="00A52AEA">
      <w:pPr>
        <w:ind w:firstLine="720"/>
        <w:rPr>
          <w:b/>
          <w:color w:val="000000" w:themeColor="text1"/>
        </w:rPr>
      </w:pPr>
      <w:r w:rsidRPr="00470B29">
        <w:rPr>
          <w:b/>
          <w:color w:val="000000" w:themeColor="text1"/>
        </w:rPr>
        <w:t>Plaintiffs,</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w:t>
      </w:r>
    </w:p>
    <w:p w:rsidR="00A52AEA" w:rsidRPr="00470B29" w:rsidRDefault="00A52AEA" w:rsidP="00A52AEA">
      <w:pPr>
        <w:rPr>
          <w:b/>
          <w:color w:val="000000" w:themeColor="text1"/>
        </w:rPr>
      </w:pP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b/>
          <w:color w:val="000000" w:themeColor="text1"/>
        </w:rPr>
        <w:t>:       Case No. 2016 CA 001884 M</w:t>
      </w:r>
    </w:p>
    <w:p w:rsidR="00A52AEA" w:rsidRPr="00470B29" w:rsidRDefault="00A52AEA" w:rsidP="00A52AEA">
      <w:pPr>
        <w:rPr>
          <w:b/>
          <w:color w:val="000000" w:themeColor="text1"/>
        </w:rPr>
      </w:pPr>
      <w:r w:rsidRPr="00470B29">
        <w:rPr>
          <w:b/>
          <w:color w:val="000000" w:themeColor="text1"/>
        </w:rPr>
        <w:t>v.</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 xml:space="preserve">:       Hon. Hiram Puig-Lugo  </w:t>
      </w:r>
    </w:p>
    <w:p w:rsidR="00A52AEA" w:rsidRPr="00470B29" w:rsidRDefault="00A52AEA" w:rsidP="00A52AEA">
      <w:pPr>
        <w:rPr>
          <w:b/>
          <w:color w:val="000000" w:themeColor="text1"/>
        </w:rPr>
      </w:pP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 xml:space="preserve">:       </w:t>
      </w:r>
    </w:p>
    <w:p w:rsidR="00A52AEA" w:rsidRPr="00470B29" w:rsidRDefault="00A52AEA" w:rsidP="00A52AEA">
      <w:pPr>
        <w:rPr>
          <w:b/>
          <w:color w:val="000000" w:themeColor="text1"/>
        </w:rPr>
      </w:pPr>
      <w:r w:rsidRPr="00470B29">
        <w:rPr>
          <w:b/>
          <w:color w:val="000000" w:themeColor="text1"/>
        </w:rPr>
        <w:t>MedStar Georgetown Medical Center Inc.,</w:t>
      </w:r>
      <w:r w:rsidRPr="00470B29">
        <w:rPr>
          <w:b/>
          <w:color w:val="000000" w:themeColor="text1"/>
        </w:rPr>
        <w:tab/>
        <w:t xml:space="preserve">:      </w:t>
      </w:r>
    </w:p>
    <w:p w:rsidR="00A52AEA" w:rsidRPr="00470B29" w:rsidRDefault="00A52AEA" w:rsidP="00A52AEA">
      <w:pPr>
        <w:rPr>
          <w:b/>
          <w:color w:val="000000" w:themeColor="text1"/>
        </w:rPr>
      </w:pPr>
      <w:r w:rsidRPr="00470B29">
        <w:rPr>
          <w:b/>
          <w:color w:val="000000" w:themeColor="text1"/>
        </w:rPr>
        <w:t>d/b/a MedStar Georgetown University Hospital,</w:t>
      </w:r>
      <w:r w:rsidRPr="00470B29">
        <w:rPr>
          <w:b/>
          <w:color w:val="000000" w:themeColor="text1"/>
        </w:rPr>
        <w:tab/>
        <w:t xml:space="preserve">:      </w:t>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b/>
          <w:color w:val="000000" w:themeColor="text1"/>
        </w:rPr>
        <w:t xml:space="preserve">:       </w:t>
      </w:r>
    </w:p>
    <w:p w:rsidR="00A52AEA" w:rsidRPr="00470B29" w:rsidRDefault="00A52AEA" w:rsidP="00A52AEA">
      <w:pPr>
        <w:pBdr>
          <w:bottom w:val="single" w:sz="12" w:space="1" w:color="auto"/>
        </w:pBdr>
        <w:spacing w:before="11"/>
        <w:ind w:firstLine="720"/>
        <w:rPr>
          <w:b/>
          <w:color w:val="000000" w:themeColor="text1"/>
        </w:rPr>
      </w:pPr>
      <w:r w:rsidRPr="00470B29">
        <w:rPr>
          <w:b/>
          <w:color w:val="000000" w:themeColor="text1"/>
        </w:rPr>
        <w:t>Defendant.</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w:t>
      </w:r>
    </w:p>
    <w:p w:rsidR="00A52AEA" w:rsidRPr="00470B29" w:rsidRDefault="00A52AEA" w:rsidP="00A52AEA">
      <w:pPr>
        <w:pBdr>
          <w:bottom w:val="single" w:sz="12" w:space="1" w:color="auto"/>
        </w:pBdr>
        <w:spacing w:before="11"/>
        <w:ind w:firstLine="720"/>
        <w:rPr>
          <w:b/>
          <w:color w:val="000000" w:themeColor="text1"/>
        </w:rPr>
      </w:pP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w:t>
      </w:r>
    </w:p>
    <w:p w:rsidR="00A52AEA" w:rsidRPr="00470B29" w:rsidRDefault="00A52AEA" w:rsidP="00A52AEA">
      <w:pPr>
        <w:spacing w:before="11"/>
        <w:rPr>
          <w:color w:val="000000" w:themeColor="text1"/>
        </w:rPr>
      </w:pP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p>
    <w:p w:rsidR="00EE565C" w:rsidRPr="00470B29" w:rsidRDefault="00F44E4D" w:rsidP="00970BB4">
      <w:pPr>
        <w:jc w:val="center"/>
        <w:rPr>
          <w:b/>
          <w:color w:val="000000" w:themeColor="text1"/>
          <w:u w:val="single"/>
        </w:rPr>
      </w:pPr>
      <w:r w:rsidRPr="00470B29">
        <w:rPr>
          <w:b/>
          <w:color w:val="000000" w:themeColor="text1"/>
          <w:u w:val="single"/>
        </w:rPr>
        <w:t xml:space="preserve">PLAINTIFFS’ </w:t>
      </w:r>
      <w:r w:rsidR="006725A6" w:rsidRPr="00470B29">
        <w:rPr>
          <w:b/>
          <w:color w:val="000000" w:themeColor="text1"/>
          <w:u w:val="single"/>
        </w:rPr>
        <w:t xml:space="preserve">OPPOSITION TO </w:t>
      </w:r>
      <w:r w:rsidR="00DC0435">
        <w:rPr>
          <w:b/>
          <w:color w:val="000000" w:themeColor="text1"/>
          <w:u w:val="single"/>
        </w:rPr>
        <w:t xml:space="preserve">DEFENDANT’S </w:t>
      </w:r>
      <w:r w:rsidR="00457CB2" w:rsidRPr="00470B29">
        <w:rPr>
          <w:b/>
          <w:color w:val="000000" w:themeColor="text1"/>
          <w:u w:val="single"/>
        </w:rPr>
        <w:t xml:space="preserve">MOTION </w:t>
      </w:r>
      <w:r w:rsidR="00E757C2" w:rsidRPr="00470B29">
        <w:rPr>
          <w:b/>
          <w:color w:val="000000" w:themeColor="text1"/>
          <w:u w:val="single"/>
        </w:rPr>
        <w:t xml:space="preserve">FOR </w:t>
      </w:r>
      <w:r w:rsidR="00970BB4" w:rsidRPr="00470B29">
        <w:rPr>
          <w:b/>
          <w:color w:val="000000" w:themeColor="text1"/>
          <w:u w:val="single"/>
        </w:rPr>
        <w:t xml:space="preserve">JUDGMENT AS A MATTER OF LAW OR NEW TRIAL OR </w:t>
      </w:r>
      <w:r w:rsidR="00E757C2" w:rsidRPr="00470B29">
        <w:rPr>
          <w:b/>
          <w:color w:val="000000" w:themeColor="text1"/>
          <w:u w:val="single"/>
        </w:rPr>
        <w:t>REMITTITUR</w:t>
      </w:r>
    </w:p>
    <w:p w:rsidR="00970BB4" w:rsidRPr="00470B29" w:rsidRDefault="00970BB4" w:rsidP="00970BB4">
      <w:pPr>
        <w:jc w:val="center"/>
        <w:rPr>
          <w:b/>
          <w:color w:val="000000" w:themeColor="text1"/>
          <w:u w:val="single"/>
        </w:rPr>
      </w:pPr>
    </w:p>
    <w:p w:rsidR="00DC2454" w:rsidRPr="00470B29" w:rsidRDefault="00E956B1" w:rsidP="00E956B1">
      <w:pPr>
        <w:shd w:val="clear" w:color="auto" w:fill="FFFFFF"/>
        <w:spacing w:line="480" w:lineRule="auto"/>
        <w:ind w:firstLine="720"/>
        <w:rPr>
          <w:rFonts w:eastAsia="Times New Roman"/>
          <w:color w:val="000000"/>
        </w:rPr>
      </w:pPr>
      <w:r w:rsidRPr="00470B29">
        <w:rPr>
          <w:rFonts w:eastAsia="Times New Roman"/>
          <w:color w:val="000000"/>
        </w:rPr>
        <w:t>Georgetown</w:t>
      </w:r>
      <w:r w:rsidR="00DC2454" w:rsidRPr="00470B29">
        <w:rPr>
          <w:rFonts w:eastAsia="Times New Roman"/>
          <w:color w:val="000000"/>
        </w:rPr>
        <w:t xml:space="preserve">’s motion lacks even a shred of merit and should be denied for the following reasons: </w:t>
      </w:r>
      <w:r w:rsidR="006C6B6F">
        <w:rPr>
          <w:rFonts w:eastAsia="Times New Roman"/>
          <w:color w:val="000000"/>
        </w:rPr>
        <w:t xml:space="preserve"> </w:t>
      </w:r>
    </w:p>
    <w:p w:rsidR="00BA45DF" w:rsidRPr="00470B29" w:rsidRDefault="00DC2454" w:rsidP="00DC2454">
      <w:pPr>
        <w:pStyle w:val="ListParagraph"/>
        <w:numPr>
          <w:ilvl w:val="0"/>
          <w:numId w:val="21"/>
        </w:numPr>
        <w:shd w:val="clear" w:color="auto" w:fill="FFFFFF"/>
        <w:spacing w:line="480" w:lineRule="auto"/>
        <w:rPr>
          <w:rFonts w:eastAsia="Times New Roman"/>
          <w:color w:val="000000"/>
        </w:rPr>
      </w:pPr>
      <w:r w:rsidRPr="00470B29">
        <w:rPr>
          <w:rFonts w:eastAsia="Times New Roman"/>
          <w:color w:val="000000"/>
        </w:rPr>
        <w:t xml:space="preserve">The motion for judgment as a matter of law is based on a false premise: that there was some controversy at trial over what the national standard of care was. To the contrary, both plaintiff and defense experts agreed on the standard; the case was tried on whether or not Georgetown’s nurse complied with the agreed standard. </w:t>
      </w:r>
      <w:r w:rsidR="00BA45DF" w:rsidRPr="00470B29">
        <w:rPr>
          <w:rFonts w:eastAsia="Times New Roman"/>
          <w:color w:val="000000"/>
        </w:rPr>
        <w:t>Another fatal flaw in the argument, even if one ignores the agreement among all experts, is that Georgetown tries to shoehorn national</w:t>
      </w:r>
      <w:r w:rsidR="00DC0435">
        <w:rPr>
          <w:rFonts w:eastAsia="Times New Roman"/>
          <w:color w:val="000000"/>
        </w:rPr>
        <w:t>ly</w:t>
      </w:r>
      <w:r w:rsidR="00BA45DF" w:rsidRPr="00470B29">
        <w:rPr>
          <w:rFonts w:eastAsia="Times New Roman"/>
          <w:color w:val="000000"/>
        </w:rPr>
        <w:t xml:space="preserve"> published experts on a topic into the diminished status of “mere personal opinion” as if it’s meaningless that they articulated, not for courts but their peers, t</w:t>
      </w:r>
      <w:bookmarkStart w:id="0" w:name="_GoBack"/>
      <w:bookmarkEnd w:id="0"/>
      <w:r w:rsidR="00BA45DF" w:rsidRPr="00470B29">
        <w:rPr>
          <w:rFonts w:eastAsia="Times New Roman"/>
          <w:color w:val="000000"/>
        </w:rPr>
        <w:t>heir views of the national standard of care for many years before this case.</w:t>
      </w:r>
    </w:p>
    <w:p w:rsidR="00BA45DF" w:rsidRPr="00470B29" w:rsidRDefault="00BA45DF" w:rsidP="00DC2454">
      <w:pPr>
        <w:pStyle w:val="ListParagraph"/>
        <w:numPr>
          <w:ilvl w:val="0"/>
          <w:numId w:val="21"/>
        </w:numPr>
        <w:shd w:val="clear" w:color="auto" w:fill="FFFFFF"/>
        <w:spacing w:line="480" w:lineRule="auto"/>
        <w:rPr>
          <w:rFonts w:eastAsia="Times New Roman"/>
          <w:color w:val="000000"/>
        </w:rPr>
      </w:pPr>
      <w:r w:rsidRPr="00470B29">
        <w:rPr>
          <w:rFonts w:eastAsia="Times New Roman"/>
          <w:color w:val="000000"/>
        </w:rPr>
        <w:t xml:space="preserve">Georgetown’s objection to the </w:t>
      </w:r>
      <w:r w:rsidRPr="00470B29">
        <w:rPr>
          <w:rFonts w:eastAsia="Times New Roman"/>
          <w:i/>
          <w:color w:val="000000"/>
        </w:rPr>
        <w:t xml:space="preserve">Pannu </w:t>
      </w:r>
      <w:r w:rsidRPr="00470B29">
        <w:rPr>
          <w:rFonts w:eastAsia="Times New Roman"/>
          <w:color w:val="000000"/>
        </w:rPr>
        <w:t xml:space="preserve">jury instruction misunderstands the testimony that did provide a basis for the instruction. </w:t>
      </w:r>
    </w:p>
    <w:p w:rsidR="00BA45DF" w:rsidRPr="00470B29" w:rsidRDefault="00BA45DF" w:rsidP="00DC2454">
      <w:pPr>
        <w:pStyle w:val="ListParagraph"/>
        <w:numPr>
          <w:ilvl w:val="0"/>
          <w:numId w:val="21"/>
        </w:numPr>
        <w:shd w:val="clear" w:color="auto" w:fill="FFFFFF"/>
        <w:spacing w:line="480" w:lineRule="auto"/>
        <w:rPr>
          <w:rFonts w:eastAsia="Times New Roman"/>
          <w:color w:val="000000"/>
        </w:rPr>
      </w:pPr>
      <w:r w:rsidRPr="00470B29">
        <w:rPr>
          <w:rFonts w:eastAsia="Times New Roman"/>
          <w:color w:val="000000"/>
        </w:rPr>
        <w:lastRenderedPageBreak/>
        <w:t xml:space="preserve">Nurse Gardner’s opinion about the amount of fluid that infiltrated into the tissue was fully supported by the evidence, and a </w:t>
      </w:r>
      <w:r w:rsidRPr="00470B29">
        <w:rPr>
          <w:rFonts w:eastAsia="Times New Roman"/>
          <w:i/>
          <w:color w:val="000000"/>
        </w:rPr>
        <w:t>Daubert-</w:t>
      </w:r>
      <w:r w:rsidRPr="00470B29">
        <w:rPr>
          <w:rFonts w:eastAsia="Times New Roman"/>
          <w:color w:val="000000"/>
        </w:rPr>
        <w:t>type challenge was perfunctory at most and without merit</w:t>
      </w:r>
      <w:r w:rsidR="00487C2B">
        <w:rPr>
          <w:rFonts w:eastAsia="Times New Roman"/>
          <w:color w:val="000000"/>
        </w:rPr>
        <w:t xml:space="preserve">. </w:t>
      </w:r>
    </w:p>
    <w:p w:rsidR="00962134" w:rsidRPr="00487C2B" w:rsidRDefault="00BA45DF" w:rsidP="00962134">
      <w:pPr>
        <w:pStyle w:val="ListParagraph"/>
        <w:numPr>
          <w:ilvl w:val="0"/>
          <w:numId w:val="21"/>
        </w:numPr>
        <w:shd w:val="clear" w:color="auto" w:fill="FFFFFF"/>
        <w:spacing w:line="480" w:lineRule="auto"/>
        <w:rPr>
          <w:rFonts w:eastAsia="Times New Roman"/>
          <w:color w:val="000000"/>
        </w:rPr>
      </w:pPr>
      <w:r w:rsidRPr="00470B29">
        <w:rPr>
          <w:rFonts w:eastAsia="Times New Roman"/>
          <w:color w:val="000000"/>
        </w:rPr>
        <w:t xml:space="preserve">The size of the verdict was amply justified by the evidence of the nature and extent of R.G.’s lifelong disfiguring injury, none of which Georgetown even mentions in its brief, instead relying on a flawed and superficial comparison to other verdicts. </w:t>
      </w:r>
    </w:p>
    <w:p w:rsidR="00DC2454" w:rsidRPr="00470B29" w:rsidRDefault="00BA45DF" w:rsidP="00962134">
      <w:pPr>
        <w:shd w:val="clear" w:color="auto" w:fill="FFFFFF"/>
        <w:spacing w:line="480" w:lineRule="auto"/>
        <w:rPr>
          <w:rFonts w:eastAsia="Times New Roman"/>
          <w:color w:val="000000"/>
        </w:rPr>
      </w:pPr>
      <w:r w:rsidRPr="00470B29">
        <w:rPr>
          <w:rFonts w:eastAsia="Times New Roman"/>
          <w:color w:val="000000"/>
        </w:rPr>
        <w:t xml:space="preserve">Further grounds in opposition are set out below. </w:t>
      </w:r>
    </w:p>
    <w:p w:rsidR="00BA45DF" w:rsidRPr="00470B29" w:rsidRDefault="00BA45DF" w:rsidP="00E956B1">
      <w:pPr>
        <w:shd w:val="clear" w:color="auto" w:fill="FFFFFF"/>
        <w:spacing w:line="480" w:lineRule="auto"/>
        <w:ind w:firstLine="720"/>
        <w:rPr>
          <w:rFonts w:eastAsia="Times New Roman"/>
          <w:color w:val="000000"/>
        </w:rPr>
      </w:pPr>
    </w:p>
    <w:p w:rsidR="00162DEC" w:rsidRPr="00470B29" w:rsidRDefault="00162DEC" w:rsidP="00C825BB">
      <w:pPr>
        <w:pStyle w:val="ListParagraph"/>
        <w:numPr>
          <w:ilvl w:val="0"/>
          <w:numId w:val="25"/>
        </w:numPr>
        <w:shd w:val="clear" w:color="auto" w:fill="FFFFFF"/>
        <w:ind w:left="720"/>
        <w:rPr>
          <w:rFonts w:eastAsia="Times New Roman"/>
          <w:b/>
          <w:color w:val="000000"/>
          <w:u w:val="single"/>
        </w:rPr>
      </w:pPr>
      <w:r w:rsidRPr="00470B29">
        <w:rPr>
          <w:rFonts w:eastAsia="Times New Roman"/>
          <w:b/>
          <w:color w:val="000000"/>
          <w:u w:val="single"/>
        </w:rPr>
        <w:t>Georgetown’s Motion for Judgment Notwiths</w:t>
      </w:r>
      <w:r w:rsidR="00801E90">
        <w:rPr>
          <w:rFonts w:eastAsia="Times New Roman"/>
          <w:b/>
          <w:color w:val="000000"/>
          <w:u w:val="single"/>
        </w:rPr>
        <w:t>tanding the Verdict or a New Tr</w:t>
      </w:r>
      <w:r w:rsidRPr="00470B29">
        <w:rPr>
          <w:rFonts w:eastAsia="Times New Roman"/>
          <w:b/>
          <w:color w:val="000000"/>
          <w:u w:val="single"/>
        </w:rPr>
        <w:t>i</w:t>
      </w:r>
      <w:r w:rsidR="00801E90">
        <w:rPr>
          <w:rFonts w:eastAsia="Times New Roman"/>
          <w:b/>
          <w:color w:val="000000"/>
          <w:u w:val="single"/>
        </w:rPr>
        <w:t>a</w:t>
      </w:r>
      <w:r w:rsidRPr="00470B29">
        <w:rPr>
          <w:rFonts w:eastAsia="Times New Roman"/>
          <w:b/>
          <w:color w:val="000000"/>
          <w:u w:val="single"/>
        </w:rPr>
        <w:t>l is Without Merit</w:t>
      </w:r>
    </w:p>
    <w:p w:rsidR="00162DEC" w:rsidRPr="00470B29" w:rsidRDefault="00162DEC" w:rsidP="00162DEC">
      <w:pPr>
        <w:pStyle w:val="ListParagraph"/>
        <w:shd w:val="clear" w:color="auto" w:fill="FFFFFF"/>
        <w:ind w:left="1080"/>
        <w:rPr>
          <w:rFonts w:eastAsia="Times New Roman"/>
          <w:b/>
          <w:color w:val="000000"/>
          <w:u w:val="single"/>
        </w:rPr>
      </w:pPr>
    </w:p>
    <w:p w:rsidR="00E956B1" w:rsidRPr="00470B29" w:rsidRDefault="00E956B1" w:rsidP="00AF0847">
      <w:pPr>
        <w:shd w:val="clear" w:color="auto" w:fill="FFFFFF"/>
        <w:spacing w:line="480" w:lineRule="auto"/>
        <w:ind w:firstLine="720"/>
        <w:rPr>
          <w:rFonts w:eastAsia="Times New Roman"/>
          <w:color w:val="000000"/>
        </w:rPr>
      </w:pPr>
      <w:r w:rsidRPr="00470B29">
        <w:rPr>
          <w:rFonts w:eastAsia="Times New Roman"/>
          <w:color w:val="000000"/>
        </w:rPr>
        <w:t xml:space="preserve">The Court already rejected these </w:t>
      </w:r>
      <w:r w:rsidR="00DC2454" w:rsidRPr="00470B29">
        <w:rPr>
          <w:rFonts w:eastAsia="Times New Roman"/>
          <w:color w:val="000000"/>
        </w:rPr>
        <w:t>same</w:t>
      </w:r>
      <w:r w:rsidRPr="00470B29">
        <w:rPr>
          <w:rFonts w:eastAsia="Times New Roman"/>
          <w:color w:val="000000"/>
        </w:rPr>
        <w:t xml:space="preserve"> arguments from Georgetown, and, in ruling on Georgetown’s motion made at the close of evidence, </w:t>
      </w:r>
      <w:r w:rsidRPr="00C31CE2">
        <w:rPr>
          <w:rFonts w:eastAsia="Times New Roman"/>
          <w:noProof/>
          <w:color w:val="000000"/>
        </w:rPr>
        <w:t>took</w:t>
      </w:r>
      <w:r w:rsidRPr="00470B29">
        <w:rPr>
          <w:rFonts w:eastAsia="Times New Roman"/>
          <w:color w:val="000000"/>
        </w:rPr>
        <w:t xml:space="preserve"> into account the testimony of Georgetown’s own expert. (</w:t>
      </w:r>
      <w:r w:rsidR="00A26DE5">
        <w:rPr>
          <w:rFonts w:eastAsia="Times New Roman"/>
          <w:color w:val="000000"/>
        </w:rPr>
        <w:t>Def.</w:t>
      </w:r>
      <w:r w:rsidR="00535CAD">
        <w:rPr>
          <w:rFonts w:eastAsia="Times New Roman"/>
          <w:color w:val="000000"/>
        </w:rPr>
        <w:t xml:space="preserve"> Ex. 3, Tr. at 58:8-13.)</w:t>
      </w:r>
      <w:r w:rsidRPr="00470B29">
        <w:rPr>
          <w:rFonts w:eastAsia="Times New Roman"/>
          <w:color w:val="000000"/>
        </w:rPr>
        <w:t xml:space="preserve"> Yet Georgetown now ignores its own expert’s testimony, focusing solely on the testimony of plaintiffs’ experts. This is remarkable</w:t>
      </w:r>
      <w:r w:rsidR="00632A59">
        <w:rPr>
          <w:rFonts w:eastAsia="Times New Roman"/>
          <w:color w:val="000000"/>
        </w:rPr>
        <w:t xml:space="preserve"> given the Court’s prior ruling</w:t>
      </w:r>
      <w:r w:rsidRPr="00470B29">
        <w:rPr>
          <w:rFonts w:eastAsia="Times New Roman"/>
          <w:color w:val="000000"/>
        </w:rPr>
        <w:t xml:space="preserve"> and the standard of review for a motion for</w:t>
      </w:r>
      <w:r w:rsidR="00B0059E">
        <w:rPr>
          <w:rFonts w:eastAsia="Times New Roman"/>
          <w:color w:val="000000"/>
        </w:rPr>
        <w:t xml:space="preserve"> judgment or</w:t>
      </w:r>
      <w:r w:rsidRPr="00470B29">
        <w:rPr>
          <w:rFonts w:eastAsia="Times New Roman"/>
          <w:color w:val="000000"/>
        </w:rPr>
        <w:t xml:space="preserve"> new trial, which focuses on the evidence as a whole – not simply plaintiffs’ evidence. </w:t>
      </w:r>
      <w:r w:rsidRPr="00470B29">
        <w:rPr>
          <w:rFonts w:eastAsia="Times New Roman"/>
          <w:i/>
          <w:iCs/>
          <w:color w:val="000000"/>
        </w:rPr>
        <w:t>See Bahura v. S.E.W. Inv'rs</w:t>
      </w:r>
      <w:r w:rsidRPr="00470B29">
        <w:rPr>
          <w:rFonts w:eastAsia="Times New Roman"/>
          <w:color w:val="000000"/>
        </w:rPr>
        <w:t>, 754 A.2d 928, 939 (D.C. 2000).</w:t>
      </w:r>
    </w:p>
    <w:p w:rsidR="00E956B1" w:rsidRPr="00470B29" w:rsidRDefault="00E956B1" w:rsidP="00DC2454">
      <w:pPr>
        <w:shd w:val="clear" w:color="auto" w:fill="FFFFFF"/>
        <w:spacing w:line="480" w:lineRule="auto"/>
        <w:ind w:firstLine="720"/>
        <w:rPr>
          <w:rFonts w:eastAsia="Times New Roman"/>
          <w:color w:val="000000"/>
        </w:rPr>
      </w:pPr>
      <w:r w:rsidRPr="00470B29">
        <w:rPr>
          <w:rFonts w:eastAsia="Times New Roman"/>
          <w:color w:val="000000"/>
        </w:rPr>
        <w:t xml:space="preserve">This is important here, </w:t>
      </w:r>
      <w:r w:rsidR="00561149">
        <w:rPr>
          <w:rFonts w:eastAsia="Times New Roman"/>
          <w:color w:val="000000"/>
        </w:rPr>
        <w:t>since</w:t>
      </w:r>
      <w:r w:rsidRPr="00470B29">
        <w:rPr>
          <w:rFonts w:eastAsia="Times New Roman"/>
          <w:color w:val="000000"/>
        </w:rPr>
        <w:t xml:space="preserve"> Georgetown’s only standard of care expert, Nurse Derenda Hodge, testified </w:t>
      </w:r>
      <w:r w:rsidR="00632A59">
        <w:rPr>
          <w:rFonts w:eastAsia="Times New Roman"/>
          <w:color w:val="000000"/>
        </w:rPr>
        <w:t>to the same</w:t>
      </w:r>
      <w:r w:rsidRPr="00470B29">
        <w:rPr>
          <w:rFonts w:eastAsia="Times New Roman"/>
          <w:color w:val="000000"/>
        </w:rPr>
        <w:t xml:space="preserve"> standards of care as the plaintiffs’ experts</w:t>
      </w:r>
      <w:r w:rsidR="00D1084A">
        <w:rPr>
          <w:rFonts w:eastAsia="Times New Roman"/>
          <w:color w:val="000000"/>
        </w:rPr>
        <w:t xml:space="preserve">, who </w:t>
      </w:r>
      <w:r w:rsidRPr="00470B29">
        <w:rPr>
          <w:rFonts w:eastAsia="Times New Roman"/>
          <w:color w:val="000000"/>
        </w:rPr>
        <w:t xml:space="preserve">agreed that the standard of care required 1) hourly checks of </w:t>
      </w:r>
      <w:r w:rsidR="00DB450E">
        <w:rPr>
          <w:rFonts w:eastAsia="Times New Roman"/>
          <w:color w:val="000000"/>
        </w:rPr>
        <w:t xml:space="preserve">R.G.’s </w:t>
      </w:r>
      <w:r w:rsidRPr="00470B29">
        <w:rPr>
          <w:rFonts w:eastAsia="Times New Roman"/>
          <w:color w:val="000000"/>
        </w:rPr>
        <w:t xml:space="preserve">peripheral i.v. </w:t>
      </w:r>
      <w:r w:rsidR="006321F8">
        <w:rPr>
          <w:rFonts w:eastAsia="Times New Roman"/>
          <w:color w:val="000000"/>
        </w:rPr>
        <w:t xml:space="preserve">(PIV) </w:t>
      </w:r>
      <w:r w:rsidR="00C90C24">
        <w:rPr>
          <w:rFonts w:eastAsia="Times New Roman"/>
          <w:color w:val="000000"/>
        </w:rPr>
        <w:t>site and 2) removal of the PIV</w:t>
      </w:r>
      <w:r w:rsidRPr="00470B29">
        <w:rPr>
          <w:rFonts w:eastAsia="Times New Roman"/>
          <w:color w:val="000000"/>
        </w:rPr>
        <w:t xml:space="preserve"> at the first sign</w:t>
      </w:r>
      <w:r w:rsidR="00632A59">
        <w:rPr>
          <w:rFonts w:eastAsia="Times New Roman"/>
          <w:color w:val="000000"/>
        </w:rPr>
        <w:t>s</w:t>
      </w:r>
      <w:r w:rsidRPr="00470B29">
        <w:rPr>
          <w:rFonts w:eastAsia="Times New Roman"/>
          <w:color w:val="000000"/>
        </w:rPr>
        <w:t xml:space="preserve"> of infiltration. All experts agreed that Georgetown’s policies regarding neonatal </w:t>
      </w:r>
      <w:r w:rsidR="00C90C24">
        <w:rPr>
          <w:rFonts w:eastAsia="Times New Roman"/>
          <w:color w:val="000000"/>
        </w:rPr>
        <w:t>PIV</w:t>
      </w:r>
      <w:r w:rsidRPr="00470B29">
        <w:rPr>
          <w:rFonts w:eastAsia="Times New Roman"/>
          <w:color w:val="000000"/>
        </w:rPr>
        <w:t xml:space="preserve"> monitoring </w:t>
      </w:r>
      <w:r w:rsidR="007A10A5">
        <w:rPr>
          <w:rFonts w:eastAsia="Times New Roman"/>
          <w:color w:val="000000"/>
        </w:rPr>
        <w:t>matched</w:t>
      </w:r>
      <w:r w:rsidRPr="00470B29">
        <w:rPr>
          <w:rFonts w:eastAsia="Times New Roman"/>
          <w:color w:val="000000"/>
        </w:rPr>
        <w:t xml:space="preserve"> these standards. Therefore, even if the Court were to now agree with Georgetown’s arguments regarding the sufficiency of the plaintiffs’ experts</w:t>
      </w:r>
      <w:r w:rsidR="006D4DC1">
        <w:rPr>
          <w:rFonts w:eastAsia="Times New Roman"/>
          <w:color w:val="000000"/>
        </w:rPr>
        <w:t>’ standard of care testimony</w:t>
      </w:r>
      <w:r w:rsidRPr="00470B29">
        <w:rPr>
          <w:rFonts w:eastAsia="Times New Roman"/>
          <w:color w:val="000000"/>
        </w:rPr>
        <w:t xml:space="preserve">, it would still have to find that the jury had sufficient evidence to conclude that </w:t>
      </w:r>
      <w:r w:rsidR="00561149">
        <w:rPr>
          <w:rFonts w:eastAsia="Times New Roman"/>
          <w:color w:val="000000"/>
        </w:rPr>
        <w:lastRenderedPageBreak/>
        <w:t xml:space="preserve">a national standard of care had been proven, </w:t>
      </w:r>
      <w:r w:rsidR="00561149" w:rsidRPr="00470B29">
        <w:rPr>
          <w:rFonts w:eastAsia="Times New Roman"/>
          <w:color w:val="000000"/>
        </w:rPr>
        <w:t>based on the testimony of Nurse Hodge</w:t>
      </w:r>
      <w:r w:rsidR="00561149">
        <w:rPr>
          <w:rFonts w:eastAsia="Times New Roman"/>
          <w:color w:val="000000"/>
        </w:rPr>
        <w:t xml:space="preserve">, and that </w:t>
      </w:r>
      <w:r w:rsidRPr="00470B29">
        <w:rPr>
          <w:rFonts w:eastAsia="Times New Roman"/>
          <w:color w:val="000000"/>
        </w:rPr>
        <w:t>Georgetown was negligent</w:t>
      </w:r>
      <w:r w:rsidR="00561149">
        <w:rPr>
          <w:rFonts w:eastAsia="Times New Roman"/>
          <w:color w:val="000000"/>
        </w:rPr>
        <w:t xml:space="preserve"> based on all the evidence. </w:t>
      </w:r>
      <w:r w:rsidRPr="00470B29">
        <w:rPr>
          <w:rFonts w:eastAsia="Times New Roman"/>
          <w:color w:val="000000"/>
        </w:rPr>
        <w:t xml:space="preserve">Therefore, the Court should </w:t>
      </w:r>
      <w:r w:rsidR="00FA0E4A">
        <w:rPr>
          <w:rFonts w:eastAsia="Times New Roman"/>
          <w:color w:val="000000"/>
        </w:rPr>
        <w:t xml:space="preserve">deny </w:t>
      </w:r>
      <w:r w:rsidRPr="00470B29">
        <w:rPr>
          <w:rFonts w:eastAsia="Times New Roman"/>
          <w:color w:val="000000"/>
        </w:rPr>
        <w:t>Georgetown’s motion for</w:t>
      </w:r>
      <w:r w:rsidR="00F67135">
        <w:rPr>
          <w:rFonts w:eastAsia="Times New Roman"/>
          <w:color w:val="000000"/>
        </w:rPr>
        <w:t xml:space="preserve"> judgment or</w:t>
      </w:r>
      <w:r w:rsidRPr="00470B29">
        <w:rPr>
          <w:rFonts w:eastAsia="Times New Roman"/>
          <w:color w:val="000000"/>
        </w:rPr>
        <w:t xml:space="preserve"> </w:t>
      </w:r>
      <w:r w:rsidRPr="00C31CE2">
        <w:rPr>
          <w:rFonts w:eastAsia="Times New Roman"/>
          <w:noProof/>
          <w:color w:val="000000"/>
        </w:rPr>
        <w:t>new</w:t>
      </w:r>
      <w:r w:rsidRPr="00470B29">
        <w:rPr>
          <w:rFonts w:eastAsia="Times New Roman"/>
          <w:color w:val="000000"/>
        </w:rPr>
        <w:t xml:space="preserve"> trial.</w:t>
      </w:r>
    </w:p>
    <w:p w:rsidR="006D4DC1" w:rsidRPr="009F7D9B" w:rsidRDefault="006D4DC1" w:rsidP="009F7D9B">
      <w:pPr>
        <w:shd w:val="clear" w:color="auto" w:fill="FFFFFF"/>
        <w:rPr>
          <w:rFonts w:eastAsia="Times New Roman"/>
          <w:color w:val="000000"/>
        </w:rPr>
      </w:pPr>
    </w:p>
    <w:p w:rsidR="008A48AB" w:rsidRPr="00C825BB" w:rsidRDefault="00E956B1" w:rsidP="00C825BB">
      <w:pPr>
        <w:pStyle w:val="ListParagraph"/>
        <w:keepNext/>
        <w:keepLines/>
        <w:numPr>
          <w:ilvl w:val="0"/>
          <w:numId w:val="26"/>
        </w:numPr>
        <w:shd w:val="clear" w:color="auto" w:fill="FFFFFF"/>
        <w:ind w:left="1080"/>
        <w:rPr>
          <w:rFonts w:eastAsia="Times New Roman"/>
          <w:color w:val="000000"/>
        </w:rPr>
      </w:pPr>
      <w:r w:rsidRPr="00C825BB">
        <w:rPr>
          <w:rFonts w:eastAsia="Times New Roman"/>
          <w:color w:val="000000"/>
        </w:rPr>
        <w:t> </w:t>
      </w:r>
      <w:r w:rsidR="00AF0847" w:rsidRPr="00C825BB">
        <w:rPr>
          <w:rFonts w:eastAsia="Times New Roman"/>
          <w:b/>
          <w:color w:val="000000"/>
        </w:rPr>
        <w:t>Legal Standard</w:t>
      </w:r>
    </w:p>
    <w:p w:rsidR="006D4DC1" w:rsidRPr="006D4DC1" w:rsidRDefault="006D4DC1" w:rsidP="006D4DC1">
      <w:pPr>
        <w:pStyle w:val="ListParagraph"/>
        <w:keepNext/>
        <w:keepLines/>
        <w:shd w:val="clear" w:color="auto" w:fill="FFFFFF"/>
        <w:rPr>
          <w:rFonts w:eastAsia="Times New Roman"/>
          <w:color w:val="000000"/>
        </w:rPr>
      </w:pPr>
    </w:p>
    <w:p w:rsidR="008A48AB" w:rsidRPr="00470B29" w:rsidRDefault="008A48AB" w:rsidP="006D4DC1">
      <w:pPr>
        <w:keepNext/>
        <w:keepLines/>
        <w:autoSpaceDE w:val="0"/>
        <w:autoSpaceDN w:val="0"/>
        <w:adjustRightInd w:val="0"/>
        <w:spacing w:line="480" w:lineRule="auto"/>
        <w:ind w:firstLine="360"/>
        <w:rPr>
          <w:rFonts w:ascii="TimesNewRomanMTStd" w:hAnsi="TimesNewRomanMTStd" w:cs="TimesNewRomanMTStd"/>
          <w:color w:val="0000FF"/>
        </w:rPr>
      </w:pPr>
      <w:r w:rsidRPr="00470B29">
        <w:rPr>
          <w:rFonts w:eastAsia="Times New Roman"/>
          <w:color w:val="000000"/>
          <w:shd w:val="clear" w:color="auto" w:fill="FFFFFF"/>
        </w:rPr>
        <w:t>“A judgment notwithstanding the verdict is proper only in ‘extreme’ cases, in which no reasonable person, viewing the evidence in the light most favorable to the prevailing party, could reach a verdict for that party.”</w:t>
      </w:r>
      <w:r w:rsidRPr="00470B29">
        <w:rPr>
          <w:i/>
          <w:iCs/>
        </w:rPr>
        <w:t xml:space="preserve"> District of Columbia v. Wilson, </w:t>
      </w:r>
      <w:r w:rsidRPr="00470B29">
        <w:t>721 A.2d 591,</w:t>
      </w:r>
      <w:r w:rsidR="00DE6DE7" w:rsidRPr="00470B29">
        <w:t xml:space="preserve"> </w:t>
      </w:r>
      <w:r w:rsidRPr="00470B29">
        <w:t>596 (D.C.1998</w:t>
      </w:r>
      <w:r w:rsidRPr="00470B29">
        <w:rPr>
          <w:rFonts w:eastAsia="Times New Roman"/>
          <w:shd w:val="clear" w:color="auto" w:fill="FFFFFF"/>
        </w:rPr>
        <w:t>)</w:t>
      </w:r>
      <w:r w:rsidRPr="00470B29">
        <w:rPr>
          <w:rFonts w:eastAsia="Times New Roman"/>
          <w:color w:val="000000"/>
          <w:shd w:val="clear" w:color="auto" w:fill="FFFFFF"/>
        </w:rPr>
        <w:t xml:space="preserve"> (quoting </w:t>
      </w:r>
      <w:r w:rsidRPr="00470B29">
        <w:rPr>
          <w:rFonts w:eastAsia="Times New Roman"/>
          <w:i/>
          <w:color w:val="000000"/>
          <w:shd w:val="clear" w:color="auto" w:fill="FFFFFF"/>
        </w:rPr>
        <w:t>District of Columbia v. Cooper</w:t>
      </w:r>
      <w:r w:rsidRPr="00470B29">
        <w:rPr>
          <w:rFonts w:eastAsia="Times New Roman"/>
          <w:color w:val="000000"/>
          <w:shd w:val="clear" w:color="auto" w:fill="FFFFFF"/>
        </w:rPr>
        <w:t xml:space="preserve">, 445 A.2d 652, 655 (D.C.1982)) (en banc). </w:t>
      </w:r>
    </w:p>
    <w:p w:rsidR="00993450" w:rsidRPr="00470B29" w:rsidRDefault="00DE6DE7" w:rsidP="00650326">
      <w:pPr>
        <w:shd w:val="clear" w:color="auto" w:fill="FFFFFF"/>
        <w:spacing w:line="480" w:lineRule="auto"/>
        <w:ind w:firstLine="360"/>
        <w:rPr>
          <w:rFonts w:eastAsia="Times New Roman"/>
          <w:iCs/>
          <w:color w:val="000000"/>
        </w:rPr>
      </w:pPr>
      <w:r w:rsidRPr="00470B29">
        <w:rPr>
          <w:rFonts w:eastAsia="Times New Roman"/>
          <w:color w:val="000000"/>
          <w:shd w:val="clear" w:color="auto" w:fill="FFFFFF"/>
        </w:rPr>
        <w:t>“</w:t>
      </w:r>
      <w:r w:rsidR="00650326" w:rsidRPr="00470B29">
        <w:rPr>
          <w:rFonts w:eastAsia="Times New Roman"/>
          <w:color w:val="000000"/>
          <w:shd w:val="clear" w:color="auto" w:fill="FFFFFF"/>
        </w:rPr>
        <w:t>To grant a motion for a new trial, the trial court must find that the verdict is against the weight of the evidence, or that there would be a miscarriage of justice if the verdict is allowed to stand.</w:t>
      </w:r>
      <w:r w:rsidRPr="00470B29">
        <w:rPr>
          <w:rFonts w:eastAsia="Times New Roman"/>
          <w:color w:val="000000"/>
          <w:shd w:val="clear" w:color="auto" w:fill="FFFFFF"/>
        </w:rPr>
        <w:t>”</w:t>
      </w:r>
      <w:r w:rsidR="008A48AB" w:rsidRPr="00470B29">
        <w:rPr>
          <w:rFonts w:eastAsia="Times New Roman"/>
          <w:i/>
          <w:iCs/>
          <w:color w:val="000000"/>
        </w:rPr>
        <w:t xml:space="preserve"> Bond v. Ivanjack</w:t>
      </w:r>
      <w:r w:rsidR="008A48AB" w:rsidRPr="00470B29">
        <w:rPr>
          <w:rFonts w:eastAsia="Times New Roman"/>
          <w:color w:val="000000"/>
        </w:rPr>
        <w:t xml:space="preserve">, 740 A.2d 968, 972 (D.C. 1999) (citing </w:t>
      </w:r>
      <w:r w:rsidR="008A48AB" w:rsidRPr="00470B29">
        <w:rPr>
          <w:rFonts w:eastAsia="Times New Roman"/>
          <w:i/>
          <w:iCs/>
          <w:color w:val="000000"/>
        </w:rPr>
        <w:t>United Mine Workers of America v. Moore,</w:t>
      </w:r>
      <w:r w:rsidR="008A48AB" w:rsidRPr="00470B29">
        <w:rPr>
          <w:rFonts w:eastAsia="Times New Roman"/>
          <w:color w:val="000000"/>
          <w:shd w:val="clear" w:color="auto" w:fill="FFFFFF"/>
        </w:rPr>
        <w:t xml:space="preserve"> 717 A.2d 332, 337 (D.C.1998) and </w:t>
      </w:r>
      <w:r w:rsidR="008A48AB" w:rsidRPr="00470B29">
        <w:rPr>
          <w:rFonts w:eastAsia="Times New Roman"/>
          <w:i/>
          <w:iCs/>
          <w:color w:val="000000"/>
        </w:rPr>
        <w:t>Daka, Inc. v. Breiner,</w:t>
      </w:r>
      <w:r w:rsidR="008A48AB" w:rsidRPr="00470B29">
        <w:rPr>
          <w:rFonts w:eastAsia="Times New Roman"/>
          <w:color w:val="000000"/>
          <w:shd w:val="clear" w:color="auto" w:fill="FFFFFF"/>
        </w:rPr>
        <w:t xml:space="preserve"> 711 A.2d 86, 96 (D.C.1998)). </w:t>
      </w:r>
    </w:p>
    <w:p w:rsidR="00AF0847" w:rsidRPr="00470B29" w:rsidRDefault="00993450" w:rsidP="00C825BB">
      <w:pPr>
        <w:shd w:val="clear" w:color="auto" w:fill="FFFFFF"/>
        <w:spacing w:line="480" w:lineRule="auto"/>
        <w:ind w:firstLine="360"/>
        <w:rPr>
          <w:rFonts w:eastAsia="Times New Roman"/>
          <w:color w:val="000000"/>
        </w:rPr>
      </w:pPr>
      <w:r w:rsidRPr="00470B29">
        <w:rPr>
          <w:rFonts w:eastAsia="Times New Roman"/>
          <w:iCs/>
          <w:color w:val="000000"/>
        </w:rPr>
        <w:t xml:space="preserve">In </w:t>
      </w:r>
      <w:r w:rsidRPr="00470B29">
        <w:rPr>
          <w:rFonts w:eastAsia="Times New Roman"/>
          <w:i/>
          <w:iCs/>
          <w:color w:val="000000"/>
        </w:rPr>
        <w:t>Bahura v. S.E.W. Inv'rs</w:t>
      </w:r>
      <w:r w:rsidRPr="00470B29">
        <w:rPr>
          <w:rFonts w:eastAsia="Times New Roman"/>
          <w:color w:val="000000"/>
        </w:rPr>
        <w:t xml:space="preserve">, 754 A.2d 928, 939 (D.C. 2000), the Court of Appeals </w:t>
      </w:r>
      <w:r w:rsidR="007A10A5">
        <w:rPr>
          <w:rFonts w:eastAsia="Times New Roman"/>
          <w:color w:val="000000"/>
        </w:rPr>
        <w:t xml:space="preserve">surveyed caselaw both here and in other jurisdictions and concluded </w:t>
      </w:r>
      <w:r w:rsidRPr="00470B29">
        <w:rPr>
          <w:rFonts w:eastAsia="Times New Roman"/>
          <w:color w:val="000000"/>
        </w:rPr>
        <w:t xml:space="preserve">that </w:t>
      </w:r>
      <w:r w:rsidR="00582374" w:rsidRPr="00470B29">
        <w:rPr>
          <w:rFonts w:eastAsia="Times New Roman"/>
          <w:color w:val="000000"/>
        </w:rPr>
        <w:t xml:space="preserve">on a motion for judgment made after the close of evidence, the trial court must take into account </w:t>
      </w:r>
      <w:r w:rsidR="00582374" w:rsidRPr="00470B29">
        <w:rPr>
          <w:rFonts w:eastAsia="Times New Roman"/>
          <w:i/>
          <w:color w:val="000000"/>
        </w:rPr>
        <w:t>all</w:t>
      </w:r>
      <w:r w:rsidR="00582374" w:rsidRPr="00470B29">
        <w:rPr>
          <w:rFonts w:eastAsia="Times New Roman"/>
          <w:color w:val="000000"/>
        </w:rPr>
        <w:t xml:space="preserve"> evidence presented at trial: </w:t>
      </w:r>
    </w:p>
    <w:p w:rsidR="00AF0847" w:rsidRPr="00470B29" w:rsidRDefault="00AF0847" w:rsidP="00582374">
      <w:pPr>
        <w:shd w:val="clear" w:color="auto" w:fill="FFFFFF"/>
        <w:ind w:left="720" w:right="920"/>
        <w:jc w:val="both"/>
        <w:rPr>
          <w:rFonts w:eastAsia="Times New Roman"/>
          <w:color w:val="000000"/>
        </w:rPr>
      </w:pPr>
      <w:r w:rsidRPr="00470B29">
        <w:rPr>
          <w:rFonts w:eastAsia="Times New Roman"/>
          <w:color w:val="000000"/>
        </w:rPr>
        <w:t>In </w:t>
      </w:r>
      <w:r w:rsidRPr="00470B29">
        <w:rPr>
          <w:rFonts w:eastAsia="Times New Roman"/>
          <w:i/>
          <w:iCs/>
          <w:color w:val="000000"/>
        </w:rPr>
        <w:t>Greet v. Otis Elevator Co.,</w:t>
      </w:r>
      <w:r w:rsidRPr="00470B29">
        <w:rPr>
          <w:rFonts w:eastAsia="Times New Roman"/>
          <w:color w:val="000000"/>
        </w:rPr>
        <w:t> 187 A.2d 896, 897 n. 1 (D.C.1963), the Court of Appeals stated the applicable principle:</w:t>
      </w:r>
    </w:p>
    <w:p w:rsidR="00582374" w:rsidRPr="00470B29" w:rsidRDefault="00582374" w:rsidP="00582374">
      <w:pPr>
        <w:shd w:val="clear" w:color="auto" w:fill="FFFFFF"/>
        <w:rPr>
          <w:rFonts w:eastAsia="Times New Roman"/>
          <w:color w:val="000000"/>
        </w:rPr>
      </w:pPr>
    </w:p>
    <w:p w:rsidR="00AF0847" w:rsidRPr="00470B29" w:rsidRDefault="00AF0847" w:rsidP="00582374">
      <w:pPr>
        <w:shd w:val="clear" w:color="auto" w:fill="FFFFFF"/>
        <w:ind w:left="1260" w:right="1280"/>
        <w:jc w:val="both"/>
        <w:rPr>
          <w:rFonts w:eastAsia="Times New Roman"/>
          <w:color w:val="000000"/>
        </w:rPr>
      </w:pPr>
      <w:r w:rsidRPr="00470B29">
        <w:rPr>
          <w:rFonts w:eastAsia="Times New Roman"/>
          <w:color w:val="000000"/>
        </w:rPr>
        <w:t>If a plaintiff has made out a </w:t>
      </w:r>
      <w:r w:rsidRPr="00470B29">
        <w:rPr>
          <w:rFonts w:eastAsia="Times New Roman"/>
          <w:color w:val="000000"/>
          <w:shd w:val="clear" w:color="auto" w:fill="FFFFFF"/>
        </w:rPr>
        <w:t>prima</w:t>
      </w:r>
      <w:r w:rsidRPr="00470B29">
        <w:rPr>
          <w:rFonts w:eastAsia="Times New Roman"/>
          <w:color w:val="000000"/>
        </w:rPr>
        <w:t> </w:t>
      </w:r>
      <w:r w:rsidRPr="00470B29">
        <w:rPr>
          <w:rFonts w:eastAsia="Times New Roman"/>
          <w:color w:val="000000"/>
          <w:shd w:val="clear" w:color="auto" w:fill="FFFFFF"/>
        </w:rPr>
        <w:t>facie</w:t>
      </w:r>
      <w:r w:rsidRPr="00470B29">
        <w:rPr>
          <w:rFonts w:eastAsia="Times New Roman"/>
          <w:color w:val="000000"/>
        </w:rPr>
        <w:t> case, a </w:t>
      </w:r>
      <w:r w:rsidRPr="00470B29">
        <w:rPr>
          <w:rFonts w:eastAsia="Times New Roman"/>
          <w:color w:val="000000"/>
          <w:shd w:val="clear" w:color="auto" w:fill="FFFFFF"/>
        </w:rPr>
        <w:t>motion</w:t>
      </w:r>
      <w:r w:rsidRPr="00470B29">
        <w:rPr>
          <w:rFonts w:eastAsia="Times New Roman"/>
          <w:color w:val="000000"/>
        </w:rPr>
        <w:t> for a directed verdict at the close of plaintiff's evidence should be denied without restriction. The theory or theories upon which the case is submitted to the jury sh</w:t>
      </w:r>
      <w:r w:rsidR="00582374" w:rsidRPr="00470B29">
        <w:rPr>
          <w:rFonts w:eastAsia="Times New Roman"/>
          <w:color w:val="000000"/>
        </w:rPr>
        <w:t xml:space="preserve">ould be determined at the close </w:t>
      </w:r>
      <w:r w:rsidRPr="00470B29">
        <w:rPr>
          <w:rFonts w:eastAsia="Times New Roman"/>
          <w:color w:val="000000"/>
        </w:rPr>
        <w:t>of </w:t>
      </w:r>
      <w:r w:rsidRPr="00470B29">
        <w:rPr>
          <w:rFonts w:eastAsia="Times New Roman"/>
          <w:color w:val="000000"/>
          <w:shd w:val="clear" w:color="auto" w:fill="FFFFFF"/>
        </w:rPr>
        <w:t>all</w:t>
      </w:r>
      <w:r w:rsidRPr="00470B29">
        <w:rPr>
          <w:rFonts w:eastAsia="Times New Roman"/>
          <w:color w:val="000000"/>
        </w:rPr>
        <w:t> the </w:t>
      </w:r>
      <w:r w:rsidRPr="00470B29">
        <w:rPr>
          <w:rFonts w:eastAsia="Times New Roman"/>
          <w:color w:val="000000"/>
          <w:shd w:val="clear" w:color="auto" w:fill="FFFFFF"/>
        </w:rPr>
        <w:t>evidence</w:t>
      </w:r>
      <w:r w:rsidRPr="00470B29">
        <w:rPr>
          <w:rFonts w:eastAsia="Times New Roman"/>
          <w:color w:val="000000"/>
        </w:rPr>
        <w:t xml:space="preserve"> because some evidence elicited from </w:t>
      </w:r>
      <w:r w:rsidRPr="00C31CE2">
        <w:rPr>
          <w:rFonts w:eastAsia="Times New Roman"/>
          <w:noProof/>
          <w:color w:val="000000"/>
        </w:rPr>
        <w:t>defendant's</w:t>
      </w:r>
      <w:r w:rsidRPr="00470B29">
        <w:rPr>
          <w:rFonts w:eastAsia="Times New Roman"/>
          <w:color w:val="000000"/>
        </w:rPr>
        <w:t xml:space="preserve"> witnesses may be advantageous to </w:t>
      </w:r>
      <w:r w:rsidRPr="00C31CE2">
        <w:rPr>
          <w:rFonts w:eastAsia="Times New Roman"/>
          <w:noProof/>
          <w:color w:val="000000"/>
        </w:rPr>
        <w:t>plaintiff</w:t>
      </w:r>
      <w:r w:rsidRPr="00470B29">
        <w:rPr>
          <w:rFonts w:eastAsia="Times New Roman"/>
          <w:color w:val="000000"/>
        </w:rPr>
        <w:t>.</w:t>
      </w:r>
    </w:p>
    <w:p w:rsidR="00AF0847" w:rsidRPr="00470B29" w:rsidRDefault="00AF0847" w:rsidP="00AF0847">
      <w:pPr>
        <w:shd w:val="clear" w:color="auto" w:fill="FFFFFF"/>
        <w:rPr>
          <w:rFonts w:eastAsia="Times New Roman"/>
          <w:i/>
          <w:iCs/>
          <w:color w:val="000000"/>
        </w:rPr>
      </w:pPr>
    </w:p>
    <w:p w:rsidR="00AF0847" w:rsidRPr="00470B29" w:rsidRDefault="00AF0847" w:rsidP="00582374">
      <w:pPr>
        <w:shd w:val="clear" w:color="auto" w:fill="FFFFFF"/>
        <w:ind w:left="720" w:right="920"/>
        <w:jc w:val="both"/>
        <w:rPr>
          <w:rFonts w:eastAsia="Times New Roman"/>
          <w:color w:val="000000"/>
        </w:rPr>
      </w:pPr>
      <w:r w:rsidRPr="00470B29">
        <w:rPr>
          <w:rFonts w:eastAsia="Times New Roman"/>
          <w:i/>
          <w:color w:val="000000"/>
        </w:rPr>
        <w:t>Accord</w:t>
      </w:r>
      <w:r w:rsidRPr="00470B29">
        <w:rPr>
          <w:rFonts w:eastAsia="Times New Roman"/>
          <w:color w:val="000000"/>
        </w:rPr>
        <w:t>, </w:t>
      </w:r>
      <w:r w:rsidRPr="00470B29">
        <w:rPr>
          <w:rFonts w:eastAsia="Times New Roman"/>
          <w:i/>
          <w:color w:val="000000"/>
        </w:rPr>
        <w:t>Harris v. Plummer</w:t>
      </w:r>
      <w:r w:rsidRPr="00470B29">
        <w:rPr>
          <w:rFonts w:eastAsia="Times New Roman"/>
          <w:color w:val="000000"/>
        </w:rPr>
        <w:t>, 190 A.2d 98, 99 (D.C.1963); </w:t>
      </w:r>
      <w:r w:rsidRPr="00470B29">
        <w:rPr>
          <w:rFonts w:eastAsia="Times New Roman"/>
          <w:i/>
          <w:color w:val="000000"/>
        </w:rPr>
        <w:t>see also</w:t>
      </w:r>
      <w:r w:rsidRPr="00470B29">
        <w:rPr>
          <w:rFonts w:eastAsia="Times New Roman"/>
          <w:color w:val="000000"/>
        </w:rPr>
        <w:t> </w:t>
      </w:r>
      <w:r w:rsidRPr="00470B29">
        <w:rPr>
          <w:rFonts w:eastAsia="Times New Roman"/>
          <w:i/>
          <w:color w:val="000000"/>
        </w:rPr>
        <w:t>J. Maury Dove Co. v. Cook,</w:t>
      </w:r>
      <w:r w:rsidRPr="00470B29">
        <w:rPr>
          <w:rFonts w:eastAsia="Times New Roman"/>
          <w:color w:val="000000"/>
        </w:rPr>
        <w:t> 59 App.D.C. 61, 62, 32 F.2d 957, 958 (1929).</w:t>
      </w:r>
    </w:p>
    <w:p w:rsidR="00AF0847" w:rsidRPr="00470B29" w:rsidRDefault="00AF0847" w:rsidP="00AF0847">
      <w:pPr>
        <w:shd w:val="clear" w:color="auto" w:fill="FFFFFF"/>
        <w:rPr>
          <w:rFonts w:eastAsia="Times New Roman"/>
          <w:color w:val="000000"/>
        </w:rPr>
      </w:pPr>
      <w:r w:rsidRPr="00470B29">
        <w:rPr>
          <w:rFonts w:eastAsia="Times New Roman"/>
          <w:color w:val="000000"/>
        </w:rPr>
        <w:t> </w:t>
      </w:r>
    </w:p>
    <w:p w:rsidR="00AF0847" w:rsidRPr="00470B29" w:rsidRDefault="00AF0847" w:rsidP="00B77926">
      <w:pPr>
        <w:shd w:val="clear" w:color="auto" w:fill="FFFFFF"/>
        <w:ind w:left="1260" w:right="1280"/>
        <w:jc w:val="both"/>
        <w:rPr>
          <w:rFonts w:eastAsia="Times New Roman"/>
          <w:color w:val="000000"/>
        </w:rPr>
      </w:pPr>
      <w:r w:rsidRPr="00470B29">
        <w:rPr>
          <w:rFonts w:eastAsia="Times New Roman"/>
          <w:color w:val="000000"/>
        </w:rPr>
        <w:lastRenderedPageBreak/>
        <w:t xml:space="preserve">The former Supreme Court of Errors of Connecticut has correctly explained that[t]he jury were not confined to the evidence offered by the plaintiff or </w:t>
      </w:r>
      <w:r w:rsidRPr="00C31CE2">
        <w:rPr>
          <w:rFonts w:eastAsia="Times New Roman"/>
          <w:noProof/>
          <w:color w:val="000000"/>
        </w:rPr>
        <w:t>any one</w:t>
      </w:r>
      <w:r w:rsidRPr="00470B29">
        <w:rPr>
          <w:rFonts w:eastAsia="Times New Roman"/>
          <w:color w:val="000000"/>
        </w:rPr>
        <w:t xml:space="preserve"> witness. The truth in closely contested cases does not always lie altogether upon one side. It is often found partly in the evidence of a plaintiff and partly in that of a defendant.</w:t>
      </w:r>
    </w:p>
    <w:p w:rsidR="00AF0847" w:rsidRPr="00470B29" w:rsidRDefault="00AF0847" w:rsidP="00B77926">
      <w:pPr>
        <w:shd w:val="clear" w:color="auto" w:fill="FFFFFF"/>
        <w:ind w:left="1260" w:right="1280"/>
        <w:jc w:val="both"/>
        <w:rPr>
          <w:rFonts w:eastAsia="Times New Roman"/>
          <w:color w:val="000000"/>
        </w:rPr>
      </w:pPr>
      <w:r w:rsidRPr="00470B29">
        <w:rPr>
          <w:rFonts w:eastAsia="Times New Roman"/>
          <w:color w:val="000000"/>
        </w:rPr>
        <w:t> </w:t>
      </w:r>
    </w:p>
    <w:p w:rsidR="00AF0847" w:rsidRPr="00470B29" w:rsidRDefault="00AF0847" w:rsidP="00B77926">
      <w:pPr>
        <w:shd w:val="clear" w:color="auto" w:fill="FFFFFF"/>
        <w:ind w:left="720" w:right="920"/>
        <w:jc w:val="both"/>
        <w:rPr>
          <w:rFonts w:eastAsia="Times New Roman"/>
          <w:color w:val="000000"/>
        </w:rPr>
      </w:pPr>
      <w:r w:rsidRPr="00470B29">
        <w:rPr>
          <w:rFonts w:eastAsia="Times New Roman"/>
          <w:i/>
          <w:iCs/>
          <w:color w:val="000000"/>
        </w:rPr>
        <w:t xml:space="preserve">Giambartolomei v. Rocky </w:t>
      </w:r>
      <w:r w:rsidRPr="00470B29">
        <w:rPr>
          <w:rFonts w:eastAsia="Times New Roman"/>
          <w:i/>
          <w:color w:val="000000"/>
        </w:rPr>
        <w:t>DeCarlo</w:t>
      </w:r>
      <w:r w:rsidRPr="00470B29">
        <w:rPr>
          <w:rFonts w:eastAsia="Times New Roman"/>
          <w:i/>
          <w:iCs/>
          <w:color w:val="000000"/>
        </w:rPr>
        <w:t xml:space="preserve"> &amp; Sons, Inc.,</w:t>
      </w:r>
      <w:r w:rsidRPr="00470B29">
        <w:rPr>
          <w:rFonts w:eastAsia="Times New Roman"/>
          <w:color w:val="000000"/>
        </w:rPr>
        <w:t> 143 Conn. 468, 123 A.2d 760, 763 (1956).</w:t>
      </w:r>
    </w:p>
    <w:p w:rsidR="00650326" w:rsidRPr="00470B29" w:rsidRDefault="00650326" w:rsidP="00650326">
      <w:pPr>
        <w:shd w:val="clear" w:color="auto" w:fill="FFFFFF"/>
        <w:ind w:right="920"/>
        <w:jc w:val="both"/>
        <w:rPr>
          <w:rFonts w:eastAsia="Times New Roman"/>
          <w:color w:val="000000"/>
        </w:rPr>
      </w:pPr>
    </w:p>
    <w:p w:rsidR="00650326" w:rsidRPr="00470B29" w:rsidRDefault="00650326" w:rsidP="005F24AB">
      <w:pPr>
        <w:shd w:val="clear" w:color="auto" w:fill="FFFFFF"/>
        <w:spacing w:line="480" w:lineRule="auto"/>
        <w:ind w:right="20" w:firstLine="720"/>
        <w:rPr>
          <w:rFonts w:eastAsia="Times New Roman"/>
          <w:color w:val="000000"/>
        </w:rPr>
      </w:pPr>
      <w:r w:rsidRPr="00470B29">
        <w:rPr>
          <w:rFonts w:eastAsia="Times New Roman"/>
          <w:color w:val="000000"/>
        </w:rPr>
        <w:t>Furthermore, “In ruling on a </w:t>
      </w:r>
      <w:r w:rsidRPr="00470B29">
        <w:rPr>
          <w:rFonts w:eastAsia="Times New Roman"/>
          <w:color w:val="000000"/>
          <w:shd w:val="clear" w:color="auto" w:fill="FFFFFF"/>
        </w:rPr>
        <w:t>motion</w:t>
      </w:r>
      <w:r w:rsidRPr="00470B29">
        <w:rPr>
          <w:rFonts w:eastAsia="Times New Roman"/>
          <w:color w:val="000000"/>
        </w:rPr>
        <w:t> for judgment n.o.v., the court must view the evidence as a </w:t>
      </w:r>
      <w:r w:rsidRPr="00470B29">
        <w:rPr>
          <w:rFonts w:eastAsia="Times New Roman"/>
          <w:color w:val="000000"/>
          <w:shd w:val="clear" w:color="auto" w:fill="FFFFFF"/>
        </w:rPr>
        <w:t>whole</w:t>
      </w:r>
      <w:r w:rsidRPr="00470B29">
        <w:rPr>
          <w:rFonts w:eastAsia="Times New Roman"/>
          <w:color w:val="000000"/>
        </w:rPr>
        <w:t>, not in fragments. Like the pieces of a mosaic, the individual studies showed little or nothing when viewed separately from one another, but they combined to produce a </w:t>
      </w:r>
      <w:r w:rsidRPr="00470B29">
        <w:rPr>
          <w:rFonts w:eastAsia="Times New Roman"/>
          <w:color w:val="000000"/>
          <w:shd w:val="clear" w:color="auto" w:fill="FFFFFF"/>
        </w:rPr>
        <w:t>whole</w:t>
      </w:r>
      <w:r w:rsidRPr="00470B29">
        <w:rPr>
          <w:rFonts w:eastAsia="Times New Roman"/>
          <w:color w:val="000000"/>
        </w:rPr>
        <w:t xml:space="preserve"> that was greater than the sum of its parts.” </w:t>
      </w:r>
      <w:r w:rsidRPr="00470B29">
        <w:rPr>
          <w:rFonts w:eastAsia="Times New Roman"/>
          <w:i/>
          <w:iCs/>
          <w:color w:val="000000"/>
        </w:rPr>
        <w:t>Oxendine v. Merrell Dow Pharm., Inc.</w:t>
      </w:r>
      <w:r w:rsidRPr="00470B29">
        <w:rPr>
          <w:rFonts w:eastAsia="Times New Roman"/>
          <w:color w:val="000000"/>
        </w:rPr>
        <w:t>, 506 A.2d 1100, 1110–11 (D.C. 1986).</w:t>
      </w:r>
    </w:p>
    <w:p w:rsidR="00C820B8" w:rsidRPr="00C825BB" w:rsidRDefault="00C820B8" w:rsidP="00C825BB">
      <w:pPr>
        <w:pStyle w:val="ListParagraph"/>
        <w:numPr>
          <w:ilvl w:val="0"/>
          <w:numId w:val="26"/>
        </w:numPr>
        <w:shd w:val="clear" w:color="auto" w:fill="FFFFFF"/>
        <w:tabs>
          <w:tab w:val="left" w:pos="6750"/>
        </w:tabs>
        <w:spacing w:line="480" w:lineRule="auto"/>
        <w:ind w:right="920"/>
        <w:rPr>
          <w:rFonts w:eastAsia="Times New Roman"/>
          <w:b/>
          <w:color w:val="000000"/>
        </w:rPr>
      </w:pPr>
      <w:r w:rsidRPr="00C825BB">
        <w:rPr>
          <w:rFonts w:eastAsia="Times New Roman"/>
          <w:b/>
          <w:color w:val="000000"/>
        </w:rPr>
        <w:t>The Jury H</w:t>
      </w:r>
      <w:r w:rsidR="00D81728">
        <w:rPr>
          <w:rFonts w:eastAsia="Times New Roman"/>
          <w:b/>
          <w:color w:val="000000"/>
        </w:rPr>
        <w:t>ear</w:t>
      </w:r>
      <w:r w:rsidRPr="00C825BB">
        <w:rPr>
          <w:rFonts w:eastAsia="Times New Roman"/>
          <w:b/>
          <w:color w:val="000000"/>
        </w:rPr>
        <w:t xml:space="preserve">d </w:t>
      </w:r>
      <w:r w:rsidR="00561149">
        <w:rPr>
          <w:rFonts w:eastAsia="Times New Roman"/>
          <w:b/>
          <w:color w:val="000000"/>
        </w:rPr>
        <w:t xml:space="preserve">Ample </w:t>
      </w:r>
      <w:r w:rsidRPr="00C825BB">
        <w:rPr>
          <w:rFonts w:eastAsia="Times New Roman"/>
          <w:b/>
          <w:color w:val="000000"/>
        </w:rPr>
        <w:t>Evidence of the National Standard of Care</w:t>
      </w:r>
    </w:p>
    <w:p w:rsidR="00C820B8" w:rsidRPr="005A6909" w:rsidRDefault="00C820B8" w:rsidP="00C820B8">
      <w:pPr>
        <w:pStyle w:val="ListParagraph"/>
        <w:numPr>
          <w:ilvl w:val="0"/>
          <w:numId w:val="28"/>
        </w:numPr>
        <w:shd w:val="clear" w:color="auto" w:fill="FFFFFF"/>
        <w:ind w:right="920"/>
        <w:jc w:val="both"/>
        <w:rPr>
          <w:rFonts w:eastAsia="Times New Roman"/>
          <w:color w:val="000000"/>
          <w:u w:val="single"/>
        </w:rPr>
      </w:pPr>
      <w:r w:rsidRPr="005A6909">
        <w:rPr>
          <w:rFonts w:eastAsia="Times New Roman"/>
          <w:i/>
          <w:color w:val="000000"/>
          <w:u w:val="single"/>
        </w:rPr>
        <w:t>Sandra Gardner Testified to the National Standard of Care</w:t>
      </w:r>
    </w:p>
    <w:p w:rsidR="00C820B8" w:rsidRPr="00470B29" w:rsidRDefault="00C820B8" w:rsidP="00C820B8">
      <w:pPr>
        <w:shd w:val="clear" w:color="auto" w:fill="FFFFFF"/>
        <w:ind w:right="920"/>
        <w:jc w:val="both"/>
        <w:rPr>
          <w:rFonts w:eastAsia="Times New Roman"/>
          <w:b/>
          <w:color w:val="000000"/>
          <w:u w:val="single"/>
        </w:rPr>
      </w:pPr>
    </w:p>
    <w:p w:rsidR="005F0AB6" w:rsidRPr="00470B29" w:rsidRDefault="005F0AB6" w:rsidP="005F0AB6">
      <w:pPr>
        <w:spacing w:line="480" w:lineRule="auto"/>
        <w:ind w:firstLine="720"/>
        <w:rPr>
          <w:rFonts w:eastAsia="Times New Roman"/>
          <w:color w:val="000000"/>
          <w:shd w:val="clear" w:color="auto" w:fill="FFFFFF"/>
        </w:rPr>
      </w:pPr>
      <w:r w:rsidRPr="00470B29">
        <w:rPr>
          <w:rFonts w:eastAsia="Times New Roman"/>
          <w:color w:val="000000"/>
          <w:shd w:val="clear" w:color="auto" w:fill="FFFFFF"/>
        </w:rPr>
        <w:t>In a medical malpractice case, “the testifying</w:t>
      </w:r>
      <w:r w:rsidR="002B584B">
        <w:rPr>
          <w:rFonts w:eastAsia="Times New Roman"/>
          <w:color w:val="000000"/>
          <w:shd w:val="clear" w:color="auto" w:fill="FFFFFF"/>
        </w:rPr>
        <w:t xml:space="preserve"> expert must establish that the </w:t>
      </w:r>
      <w:r w:rsidRPr="00470B29">
        <w:rPr>
          <w:rFonts w:eastAsia="Times New Roman"/>
          <w:color w:val="000000"/>
          <w:shd w:val="clear" w:color="auto" w:fill="FFFFFF"/>
        </w:rPr>
        <w:t xml:space="preserve">relevant standard of care is followed nationally, ‘either through reference to a published standard, discussion of the described course of treatment with practitioners outside the District at seminars or conventions, or through </w:t>
      </w:r>
      <w:r w:rsidRPr="00C31CE2">
        <w:rPr>
          <w:rFonts w:eastAsia="Times New Roman"/>
          <w:noProof/>
          <w:color w:val="000000"/>
          <w:shd w:val="clear" w:color="auto" w:fill="FFFFFF"/>
        </w:rPr>
        <w:t>presentation</w:t>
      </w:r>
      <w:r w:rsidRPr="00470B29">
        <w:rPr>
          <w:rFonts w:eastAsia="Times New Roman"/>
          <w:color w:val="000000"/>
          <w:shd w:val="clear" w:color="auto" w:fill="FFFFFF"/>
        </w:rPr>
        <w:t xml:space="preserve"> of relevant data.’” </w:t>
      </w:r>
      <w:r w:rsidRPr="00470B29">
        <w:rPr>
          <w:rFonts w:eastAsia="Times New Roman"/>
          <w:i/>
          <w:iCs/>
          <w:color w:val="000000"/>
        </w:rPr>
        <w:t>Coulter v. Gerald Family Care, P.C.</w:t>
      </w:r>
      <w:r w:rsidRPr="00470B29">
        <w:rPr>
          <w:rFonts w:eastAsia="Times New Roman"/>
          <w:color w:val="000000"/>
        </w:rPr>
        <w:t>, 964 A.2d 170, 189 (D.C. 2009)</w:t>
      </w:r>
      <w:r w:rsidR="00291BCE">
        <w:rPr>
          <w:rFonts w:eastAsia="Times New Roman"/>
          <w:color w:val="000000"/>
        </w:rPr>
        <w:t xml:space="preserve"> </w:t>
      </w:r>
      <w:r w:rsidRPr="00470B29">
        <w:rPr>
          <w:rFonts w:eastAsia="Times New Roman"/>
          <w:color w:val="000000"/>
        </w:rPr>
        <w:t>(</w:t>
      </w:r>
      <w:r w:rsidRPr="00470B29">
        <w:rPr>
          <w:rFonts w:eastAsia="Times New Roman"/>
          <w:color w:val="000000"/>
          <w:shd w:val="clear" w:color="auto" w:fill="FFFFFF"/>
        </w:rPr>
        <w:t>quoting </w:t>
      </w:r>
      <w:r w:rsidRPr="00470B29">
        <w:rPr>
          <w:rStyle w:val="Emphasis"/>
        </w:rPr>
        <w:t>Strickland v. Pinder,</w:t>
      </w:r>
      <w:r w:rsidRPr="00470B29">
        <w:t> 899 A.2d 770, 773 (D.C.2006)</w:t>
      </w:r>
      <w:r w:rsidRPr="00470B29">
        <w:rPr>
          <w:rFonts w:eastAsia="Times New Roman"/>
          <w:shd w:val="clear" w:color="auto" w:fill="FFFFFF"/>
        </w:rPr>
        <w:t xml:space="preserve">). </w:t>
      </w:r>
    </w:p>
    <w:p w:rsidR="00152019" w:rsidRPr="00470B29" w:rsidRDefault="005F0AB6" w:rsidP="00152019">
      <w:pPr>
        <w:shd w:val="clear" w:color="auto" w:fill="FFFFFF"/>
        <w:spacing w:line="480" w:lineRule="auto"/>
        <w:ind w:firstLine="720"/>
        <w:rPr>
          <w:rFonts w:eastAsia="Times New Roman"/>
          <w:color w:val="000000"/>
          <w:shd w:val="clear" w:color="auto" w:fill="FFFFFF"/>
        </w:rPr>
      </w:pPr>
      <w:r w:rsidRPr="00470B29">
        <w:rPr>
          <w:rFonts w:eastAsia="Times New Roman"/>
          <w:color w:val="000000"/>
          <w:shd w:val="clear" w:color="auto" w:fill="FFFFFF"/>
        </w:rPr>
        <w:t>Importantly, the expert must “</w:t>
      </w:r>
      <w:r w:rsidRPr="00470B29">
        <w:rPr>
          <w:rFonts w:eastAsia="Times New Roman"/>
          <w:iCs/>
          <w:color w:val="000000"/>
        </w:rPr>
        <w:t>link</w:t>
      </w:r>
      <w:r w:rsidRPr="00470B29">
        <w:rPr>
          <w:rFonts w:eastAsia="Times New Roman"/>
          <w:color w:val="000000"/>
          <w:shd w:val="clear" w:color="auto" w:fill="FFFFFF"/>
        </w:rPr>
        <w:t> his testimony to [a] certification process, current literature, conference or discussion with other knowledgeable professionals,” at a national level</w:t>
      </w:r>
      <w:r w:rsidR="00FD0FD6">
        <w:rPr>
          <w:rFonts w:eastAsia="Times New Roman"/>
          <w:color w:val="000000"/>
          <w:shd w:val="clear" w:color="auto" w:fill="FFFFFF"/>
        </w:rPr>
        <w:t xml:space="preserve"> to establish a</w:t>
      </w:r>
      <w:r w:rsidRPr="00470B29">
        <w:rPr>
          <w:rFonts w:eastAsia="Times New Roman"/>
          <w:color w:val="000000"/>
          <w:shd w:val="clear" w:color="auto" w:fill="FFFFFF"/>
        </w:rPr>
        <w:t xml:space="preserve"> “basis for his discussion of the national standard of care.”</w:t>
      </w:r>
      <w:r w:rsidRPr="00470B29">
        <w:rPr>
          <w:rFonts w:eastAsia="Times New Roman"/>
          <w:i/>
          <w:iCs/>
          <w:color w:val="000000"/>
        </w:rPr>
        <w:t xml:space="preserve"> Cardenas v. Muangman</w:t>
      </w:r>
      <w:r w:rsidRPr="00470B29">
        <w:rPr>
          <w:rFonts w:eastAsia="Times New Roman"/>
          <w:color w:val="000000"/>
        </w:rPr>
        <w:t>, 998 A.2d 303, 308 (D.C. 2010)</w:t>
      </w:r>
      <w:r w:rsidR="00291BCE">
        <w:rPr>
          <w:rFonts w:eastAsia="Times New Roman"/>
          <w:color w:val="000000"/>
        </w:rPr>
        <w:t xml:space="preserve"> </w:t>
      </w:r>
      <w:r w:rsidRPr="00470B29">
        <w:rPr>
          <w:rFonts w:eastAsia="Times New Roman"/>
          <w:color w:val="000000"/>
          <w:shd w:val="clear" w:color="auto" w:fill="FFFFFF"/>
        </w:rPr>
        <w:t>(quo</w:t>
      </w:r>
      <w:r w:rsidR="00291BCE">
        <w:rPr>
          <w:rFonts w:eastAsia="Times New Roman"/>
          <w:color w:val="000000"/>
          <w:shd w:val="clear" w:color="auto" w:fill="FFFFFF"/>
        </w:rPr>
        <w:t>ting</w:t>
      </w:r>
      <w:r w:rsidRPr="00470B29">
        <w:rPr>
          <w:rFonts w:eastAsia="Times New Roman"/>
          <w:color w:val="000000"/>
          <w:shd w:val="clear" w:color="auto" w:fill="FFFFFF"/>
        </w:rPr>
        <w:t xml:space="preserve"> </w:t>
      </w:r>
      <w:r w:rsidRPr="00470B29">
        <w:rPr>
          <w:rFonts w:eastAsia="Times New Roman"/>
          <w:i/>
          <w:iCs/>
          <w:color w:val="000000"/>
        </w:rPr>
        <w:t>Strickland,</w:t>
      </w:r>
      <w:r w:rsidRPr="00470B29">
        <w:rPr>
          <w:rFonts w:eastAsia="Times New Roman"/>
          <w:color w:val="000000"/>
          <w:shd w:val="clear" w:color="auto" w:fill="FFFFFF"/>
        </w:rPr>
        <w:t> 899 A.2d at 774).</w:t>
      </w:r>
      <w:r w:rsidR="00152019" w:rsidRPr="00470B29">
        <w:rPr>
          <w:rFonts w:eastAsia="Times New Roman"/>
          <w:color w:val="000000"/>
          <w:shd w:val="clear" w:color="auto" w:fill="FFFFFF"/>
        </w:rPr>
        <w:t xml:space="preserve"> In </w:t>
      </w:r>
      <w:r w:rsidR="00152019" w:rsidRPr="00470B29">
        <w:rPr>
          <w:rFonts w:eastAsia="Times New Roman"/>
          <w:i/>
          <w:color w:val="000000"/>
          <w:shd w:val="clear" w:color="auto" w:fill="FFFFFF"/>
        </w:rPr>
        <w:t>Cardenas</w:t>
      </w:r>
      <w:r w:rsidR="00152019" w:rsidRPr="00470B29">
        <w:rPr>
          <w:rFonts w:eastAsia="Times New Roman"/>
          <w:color w:val="000000"/>
          <w:shd w:val="clear" w:color="auto" w:fill="FFFFFF"/>
        </w:rPr>
        <w:t xml:space="preserve">, the Court of Appeals overturned the trial court’s ruling that the </w:t>
      </w:r>
      <w:r w:rsidR="006F39DD" w:rsidRPr="00470B29">
        <w:rPr>
          <w:rFonts w:eastAsia="Times New Roman"/>
          <w:color w:val="000000"/>
          <w:shd w:val="clear" w:color="auto" w:fill="FFFFFF"/>
        </w:rPr>
        <w:t>plaintiffs</w:t>
      </w:r>
      <w:r w:rsidR="00152019" w:rsidRPr="00470B29">
        <w:rPr>
          <w:rFonts w:eastAsia="Times New Roman"/>
          <w:color w:val="000000"/>
          <w:shd w:val="clear" w:color="auto" w:fill="FFFFFF"/>
        </w:rPr>
        <w:t xml:space="preserve">’ liability expert had not sufficiently testified to a national standard of care, where he testified that he </w:t>
      </w:r>
      <w:r w:rsidR="00152019" w:rsidRPr="00470B29">
        <w:rPr>
          <w:rFonts w:eastAsia="Times New Roman"/>
          <w:color w:val="000000"/>
          <w:shd w:val="clear" w:color="auto" w:fill="FFFFFF"/>
        </w:rPr>
        <w:lastRenderedPageBreak/>
        <w:t xml:space="preserve">reviewed national literature, attended national conferences, and had discussed the specific standard of care in that case with other physicians in “various areas of the country.” </w:t>
      </w:r>
      <w:r w:rsidR="00152019" w:rsidRPr="00470B29">
        <w:rPr>
          <w:rFonts w:eastAsia="Times New Roman"/>
          <w:i/>
          <w:color w:val="000000"/>
          <w:shd w:val="clear" w:color="auto" w:fill="FFFFFF"/>
        </w:rPr>
        <w:t>Id.</w:t>
      </w:r>
      <w:r w:rsidR="00152019" w:rsidRPr="00470B29">
        <w:rPr>
          <w:rFonts w:eastAsia="Times New Roman"/>
          <w:color w:val="000000"/>
          <w:shd w:val="clear" w:color="auto" w:fill="FFFFFF"/>
        </w:rPr>
        <w:t xml:space="preserve"> at 310-311. </w:t>
      </w:r>
    </w:p>
    <w:p w:rsidR="005E428A" w:rsidRPr="00B04838" w:rsidRDefault="00152019" w:rsidP="005E428A">
      <w:pPr>
        <w:shd w:val="clear" w:color="auto" w:fill="FFFFFF"/>
        <w:spacing w:line="480" w:lineRule="auto"/>
        <w:ind w:firstLine="720"/>
        <w:rPr>
          <w:rFonts w:eastAsia="Times New Roman"/>
          <w:color w:val="000000"/>
        </w:rPr>
      </w:pPr>
      <w:r w:rsidRPr="00470B29">
        <w:rPr>
          <w:rFonts w:eastAsia="Times New Roman"/>
          <w:color w:val="000000"/>
        </w:rPr>
        <w:t>In this case, Nurse Sandra Gardner testified to a national standard of care, linked to nationally published literature</w:t>
      </w:r>
      <w:r w:rsidR="00E8548A">
        <w:rPr>
          <w:rFonts w:eastAsia="Times New Roman"/>
          <w:color w:val="000000"/>
        </w:rPr>
        <w:t xml:space="preserve"> (including the textbook that she edits)</w:t>
      </w:r>
      <w:r w:rsidRPr="00470B29">
        <w:rPr>
          <w:rFonts w:eastAsia="Times New Roman"/>
          <w:color w:val="000000"/>
        </w:rPr>
        <w:t xml:space="preserve">, attendance at conferences, </w:t>
      </w:r>
      <w:r w:rsidRPr="00B04838">
        <w:rPr>
          <w:rFonts w:eastAsia="Times New Roman"/>
          <w:color w:val="000000"/>
        </w:rPr>
        <w:t>and discussions with oth</w:t>
      </w:r>
      <w:r w:rsidR="00C261EC" w:rsidRPr="00B04838">
        <w:rPr>
          <w:rFonts w:eastAsia="Times New Roman"/>
          <w:color w:val="000000"/>
        </w:rPr>
        <w:t>er knowledgeable professionals.</w:t>
      </w:r>
      <w:r w:rsidR="00793153" w:rsidRPr="00B04838">
        <w:rPr>
          <w:rFonts w:eastAsia="Times New Roman"/>
          <w:color w:val="000000"/>
        </w:rPr>
        <w:t xml:space="preserve"> </w:t>
      </w:r>
      <w:r w:rsidR="00291BCE" w:rsidRPr="00B04838">
        <w:rPr>
          <w:rFonts w:eastAsia="Times New Roman"/>
          <w:color w:val="000000"/>
        </w:rPr>
        <w:t>Nurse Gardner testified</w:t>
      </w:r>
      <w:r w:rsidR="005E428A" w:rsidRPr="00B04838">
        <w:rPr>
          <w:rFonts w:eastAsia="Times New Roman"/>
          <w:color w:val="000000"/>
        </w:rPr>
        <w:t>:</w:t>
      </w:r>
    </w:p>
    <w:p w:rsidR="005E428A" w:rsidRPr="00B04838" w:rsidRDefault="005E428A" w:rsidP="00B04838">
      <w:pPr>
        <w:autoSpaceDE w:val="0"/>
        <w:autoSpaceDN w:val="0"/>
        <w:adjustRightInd w:val="0"/>
        <w:ind w:left="720"/>
      </w:pPr>
      <w:r w:rsidRPr="00B04838">
        <w:t>5 Q. Aside from editing this textbook, how else are</w:t>
      </w:r>
    </w:p>
    <w:p w:rsidR="005E428A" w:rsidRPr="00B04838" w:rsidRDefault="005E428A" w:rsidP="00B04838">
      <w:pPr>
        <w:autoSpaceDE w:val="0"/>
        <w:autoSpaceDN w:val="0"/>
        <w:adjustRightInd w:val="0"/>
        <w:ind w:left="720"/>
      </w:pPr>
      <w:r w:rsidRPr="00B04838">
        <w:t>6 you familiar with these standards?</w:t>
      </w:r>
    </w:p>
    <w:p w:rsidR="005E428A" w:rsidRPr="00B04838" w:rsidRDefault="005E428A" w:rsidP="00B04838">
      <w:pPr>
        <w:autoSpaceDE w:val="0"/>
        <w:autoSpaceDN w:val="0"/>
        <w:adjustRightInd w:val="0"/>
        <w:ind w:left="720"/>
      </w:pPr>
      <w:r w:rsidRPr="00B04838">
        <w:t>7 A. Attend national meetings. I'm a member of the</w:t>
      </w:r>
    </w:p>
    <w:p w:rsidR="005E428A" w:rsidRPr="00B04838" w:rsidRDefault="005E428A" w:rsidP="00B04838">
      <w:pPr>
        <w:autoSpaceDE w:val="0"/>
        <w:autoSpaceDN w:val="0"/>
        <w:adjustRightInd w:val="0"/>
        <w:ind w:left="720"/>
      </w:pPr>
      <w:r w:rsidRPr="00B04838">
        <w:t>8 National Nursing Organizations and professional nursing</w:t>
      </w:r>
    </w:p>
    <w:p w:rsidR="005E428A" w:rsidRPr="00B04838" w:rsidRDefault="005E428A" w:rsidP="00B04838">
      <w:pPr>
        <w:autoSpaceDE w:val="0"/>
        <w:autoSpaceDN w:val="0"/>
        <w:adjustRightInd w:val="0"/>
        <w:ind w:left="720"/>
      </w:pPr>
      <w:r w:rsidRPr="00B04838">
        <w:t>9 set standards for our profession. I read journals cover</w:t>
      </w:r>
    </w:p>
    <w:p w:rsidR="005E428A" w:rsidRPr="00B04838" w:rsidRDefault="005E428A" w:rsidP="00B04838">
      <w:pPr>
        <w:autoSpaceDE w:val="0"/>
        <w:autoSpaceDN w:val="0"/>
        <w:adjustRightInd w:val="0"/>
        <w:ind w:left="720"/>
      </w:pPr>
      <w:r w:rsidRPr="00B04838">
        <w:t>10 to cover. I go to the medical library most every Sunday</w:t>
      </w:r>
    </w:p>
    <w:p w:rsidR="005E428A" w:rsidRPr="00B04838" w:rsidRDefault="005E428A" w:rsidP="00B04838">
      <w:pPr>
        <w:autoSpaceDE w:val="0"/>
        <w:autoSpaceDN w:val="0"/>
        <w:adjustRightInd w:val="0"/>
        <w:ind w:left="720"/>
      </w:pPr>
      <w:r w:rsidRPr="00B04838">
        <w:t>11 and dig up the pediatric -- the medicine journals and read</w:t>
      </w:r>
    </w:p>
    <w:p w:rsidR="005E428A" w:rsidRPr="00B04838" w:rsidRDefault="005E428A" w:rsidP="004126AE">
      <w:pPr>
        <w:shd w:val="clear" w:color="auto" w:fill="FFFFFF"/>
        <w:spacing w:line="480" w:lineRule="auto"/>
        <w:ind w:firstLine="720"/>
        <w:rPr>
          <w:rFonts w:eastAsia="Times New Roman"/>
          <w:color w:val="000000"/>
        </w:rPr>
      </w:pPr>
      <w:r w:rsidRPr="00B04838">
        <w:t>12 articles that are relevant to neonatal care.</w:t>
      </w:r>
    </w:p>
    <w:p w:rsidR="002F2EE6" w:rsidRPr="00B04838" w:rsidRDefault="00291BCE" w:rsidP="00B04838">
      <w:pPr>
        <w:shd w:val="clear" w:color="auto" w:fill="FFFFFF"/>
        <w:spacing w:line="480" w:lineRule="auto"/>
        <w:rPr>
          <w:rFonts w:eastAsia="Times New Roman"/>
          <w:color w:val="000000"/>
        </w:rPr>
      </w:pPr>
      <w:r w:rsidRPr="00B04838">
        <w:rPr>
          <w:rFonts w:eastAsia="Times New Roman"/>
          <w:color w:val="000000"/>
        </w:rPr>
        <w:t>(</w:t>
      </w:r>
      <w:r w:rsidR="00AD421A" w:rsidRPr="00B04838">
        <w:rPr>
          <w:rFonts w:eastAsia="Times New Roman"/>
          <w:color w:val="000000"/>
        </w:rPr>
        <w:t>Defense Ex. 1, Gardner Tr. at</w:t>
      </w:r>
      <w:r w:rsidRPr="00B04838">
        <w:rPr>
          <w:rFonts w:eastAsia="Times New Roman"/>
          <w:color w:val="000000"/>
        </w:rPr>
        <w:t xml:space="preserve"> </w:t>
      </w:r>
      <w:r w:rsidR="005E428A" w:rsidRPr="00B04838">
        <w:rPr>
          <w:rFonts w:eastAsia="Times New Roman"/>
          <w:color w:val="000000"/>
        </w:rPr>
        <w:t>14:5-15</w:t>
      </w:r>
      <w:r w:rsidRPr="00B04838">
        <w:rPr>
          <w:rFonts w:eastAsia="Times New Roman"/>
          <w:color w:val="000000"/>
        </w:rPr>
        <w:t xml:space="preserve">.) </w:t>
      </w:r>
      <w:r w:rsidR="002F2EE6" w:rsidRPr="00B04838">
        <w:rPr>
          <w:rFonts w:eastAsia="Times New Roman"/>
          <w:color w:val="000000"/>
        </w:rPr>
        <w:t xml:space="preserve"> In regard to the literature, she testified: </w:t>
      </w:r>
    </w:p>
    <w:p w:rsidR="002F2EE6" w:rsidRPr="00B04838" w:rsidRDefault="002F2EE6" w:rsidP="00B04838">
      <w:pPr>
        <w:autoSpaceDE w:val="0"/>
        <w:autoSpaceDN w:val="0"/>
        <w:adjustRightInd w:val="0"/>
        <w:ind w:left="720"/>
      </w:pPr>
      <w:r w:rsidRPr="00B04838">
        <w:t>15 The standards are written for all nurses like</w:t>
      </w:r>
    </w:p>
    <w:p w:rsidR="002F2EE6" w:rsidRPr="00B04838" w:rsidRDefault="002F2EE6" w:rsidP="00B04838">
      <w:pPr>
        <w:autoSpaceDE w:val="0"/>
        <w:autoSpaceDN w:val="0"/>
        <w:adjustRightInd w:val="0"/>
        <w:ind w:left="720"/>
      </w:pPr>
      <w:r w:rsidRPr="00B04838">
        <w:t>16 the American Journal of Nurse -- I mean the American</w:t>
      </w:r>
    </w:p>
    <w:p w:rsidR="002F2EE6" w:rsidRPr="00B04838" w:rsidRDefault="002F2EE6" w:rsidP="00B04838">
      <w:pPr>
        <w:autoSpaceDE w:val="0"/>
        <w:autoSpaceDN w:val="0"/>
        <w:adjustRightInd w:val="0"/>
        <w:ind w:left="720"/>
      </w:pPr>
      <w:r w:rsidRPr="00B04838">
        <w:t>17 Nurses Association. They write the code of ethics and all</w:t>
      </w:r>
    </w:p>
    <w:p w:rsidR="002F2EE6" w:rsidRPr="00B04838" w:rsidRDefault="002F2EE6" w:rsidP="00B04838">
      <w:pPr>
        <w:autoSpaceDE w:val="0"/>
        <w:autoSpaceDN w:val="0"/>
        <w:adjustRightInd w:val="0"/>
        <w:ind w:left="720"/>
      </w:pPr>
      <w:r w:rsidRPr="00B04838">
        <w:t xml:space="preserve">18 the </w:t>
      </w:r>
      <w:r w:rsidR="004126AE" w:rsidRPr="00B04838">
        <w:t>subspecialty</w:t>
      </w:r>
      <w:r w:rsidRPr="00B04838">
        <w:t xml:space="preserve"> organizations ascribe that nurses, as a</w:t>
      </w:r>
    </w:p>
    <w:p w:rsidR="002F2EE6" w:rsidRPr="00B04838" w:rsidRDefault="002F2EE6" w:rsidP="00B04838">
      <w:pPr>
        <w:autoSpaceDE w:val="0"/>
        <w:autoSpaceDN w:val="0"/>
        <w:adjustRightInd w:val="0"/>
        <w:ind w:left="720"/>
      </w:pPr>
      <w:r w:rsidRPr="00B04838">
        <w:t>19 registered anything that you will practice ethically. The</w:t>
      </w:r>
    </w:p>
    <w:p w:rsidR="002F2EE6" w:rsidRPr="00B04838" w:rsidRDefault="002F2EE6" w:rsidP="00B04838">
      <w:pPr>
        <w:autoSpaceDE w:val="0"/>
        <w:autoSpaceDN w:val="0"/>
        <w:adjustRightInd w:val="0"/>
        <w:ind w:left="720"/>
      </w:pPr>
      <w:r w:rsidRPr="00B04838">
        <w:t>20 standards are written as a minimal requirement of nurses</w:t>
      </w:r>
    </w:p>
    <w:p w:rsidR="002F2EE6" w:rsidRPr="00B04838" w:rsidRDefault="002F2EE6" w:rsidP="00B04838">
      <w:pPr>
        <w:shd w:val="clear" w:color="auto" w:fill="FFFFFF"/>
        <w:spacing w:line="480" w:lineRule="auto"/>
        <w:ind w:left="720"/>
      </w:pPr>
      <w:r w:rsidRPr="00B04838">
        <w:t>21 when we are doing our work.</w:t>
      </w:r>
    </w:p>
    <w:p w:rsidR="002F2EE6" w:rsidRPr="00B04838" w:rsidRDefault="002F2EE6" w:rsidP="00B04838">
      <w:pPr>
        <w:shd w:val="clear" w:color="auto" w:fill="FFFFFF"/>
        <w:spacing w:line="480" w:lineRule="auto"/>
      </w:pPr>
      <w:r w:rsidRPr="00B04838">
        <w:t>(</w:t>
      </w:r>
      <w:r w:rsidRPr="00B04838">
        <w:rPr>
          <w:i/>
        </w:rPr>
        <w:t>Id.</w:t>
      </w:r>
      <w:r w:rsidRPr="00B04838">
        <w:t xml:space="preserve"> at 15:15-21.)</w:t>
      </w:r>
    </w:p>
    <w:p w:rsidR="00793153" w:rsidRPr="00470B29" w:rsidRDefault="00793153" w:rsidP="002065AE">
      <w:pPr>
        <w:shd w:val="clear" w:color="auto" w:fill="FFFFFF"/>
        <w:spacing w:line="480" w:lineRule="auto"/>
        <w:ind w:firstLine="720"/>
        <w:rPr>
          <w:rFonts w:eastAsia="Times New Roman"/>
          <w:color w:val="000000"/>
        </w:rPr>
      </w:pPr>
      <w:r w:rsidRPr="00470B29">
        <w:rPr>
          <w:rFonts w:eastAsia="Times New Roman"/>
          <w:color w:val="000000"/>
        </w:rPr>
        <w:t>She</w:t>
      </w:r>
      <w:r w:rsidR="002065AE">
        <w:rPr>
          <w:rFonts w:eastAsia="Times New Roman"/>
          <w:color w:val="000000"/>
        </w:rPr>
        <w:t xml:space="preserve"> also</w:t>
      </w:r>
      <w:r w:rsidRPr="00470B29">
        <w:rPr>
          <w:rFonts w:eastAsia="Times New Roman"/>
          <w:color w:val="000000"/>
        </w:rPr>
        <w:t xml:space="preserve"> testified that she had worked for 37 years as a NICU nurse, first in Kentucky</w:t>
      </w:r>
      <w:r w:rsidR="00067E10">
        <w:rPr>
          <w:rFonts w:eastAsia="Times New Roman"/>
          <w:color w:val="000000"/>
        </w:rPr>
        <w:t>,</w:t>
      </w:r>
      <w:r w:rsidRPr="00470B29">
        <w:rPr>
          <w:rFonts w:eastAsia="Times New Roman"/>
          <w:color w:val="000000"/>
        </w:rPr>
        <w:t xml:space="preserve"> th</w:t>
      </w:r>
      <w:r w:rsidR="00067E10">
        <w:rPr>
          <w:rFonts w:eastAsia="Times New Roman"/>
          <w:color w:val="000000"/>
        </w:rPr>
        <w:t>e</w:t>
      </w:r>
      <w:r w:rsidRPr="00470B29">
        <w:rPr>
          <w:rFonts w:eastAsia="Times New Roman"/>
          <w:color w:val="000000"/>
        </w:rPr>
        <w:t>n in Colorado, where she also taught</w:t>
      </w:r>
      <w:r w:rsidR="0081405E" w:rsidRPr="00470B29">
        <w:rPr>
          <w:rFonts w:eastAsia="Times New Roman"/>
          <w:color w:val="000000"/>
        </w:rPr>
        <w:t xml:space="preserve"> at the Colorado School of Nursing and </w:t>
      </w:r>
      <w:r w:rsidR="0081405E" w:rsidRPr="00C31CE2">
        <w:rPr>
          <w:rFonts w:eastAsia="Times New Roman"/>
          <w:noProof/>
          <w:color w:val="000000"/>
        </w:rPr>
        <w:t>traveled</w:t>
      </w:r>
      <w:r w:rsidR="0081405E" w:rsidRPr="00470B29">
        <w:rPr>
          <w:rFonts w:eastAsia="Times New Roman"/>
          <w:color w:val="000000"/>
        </w:rPr>
        <w:t xml:space="preserve"> around Colorado and the seven surrounding states, teaching NICU nursing. (</w:t>
      </w:r>
      <w:r w:rsidR="00AD421A">
        <w:rPr>
          <w:rFonts w:eastAsia="Times New Roman"/>
          <w:i/>
          <w:color w:val="000000"/>
        </w:rPr>
        <w:t>Id.</w:t>
      </w:r>
      <w:r w:rsidR="00A561D4">
        <w:rPr>
          <w:rFonts w:eastAsia="Times New Roman"/>
          <w:color w:val="000000"/>
        </w:rPr>
        <w:t>at 4-6.)</w:t>
      </w:r>
      <w:r w:rsidR="0081405E" w:rsidRPr="00470B29">
        <w:rPr>
          <w:rFonts w:eastAsia="Times New Roman"/>
          <w:color w:val="000000"/>
        </w:rPr>
        <w:t xml:space="preserve"> </w:t>
      </w:r>
    </w:p>
    <w:p w:rsidR="00D83A5F" w:rsidRDefault="00A35221" w:rsidP="00D83A5F">
      <w:pPr>
        <w:shd w:val="clear" w:color="auto" w:fill="FFFFFF"/>
        <w:spacing w:line="480" w:lineRule="auto"/>
        <w:ind w:firstLine="720"/>
        <w:rPr>
          <w:rFonts w:eastAsia="Times New Roman"/>
          <w:color w:val="000000"/>
        </w:rPr>
      </w:pPr>
      <w:r w:rsidRPr="00470B29">
        <w:rPr>
          <w:rFonts w:eastAsia="Times New Roman"/>
          <w:color w:val="000000"/>
        </w:rPr>
        <w:t>Importantly</w:t>
      </w:r>
      <w:r w:rsidR="00C261EC" w:rsidRPr="00470B29">
        <w:rPr>
          <w:rFonts w:eastAsia="Times New Roman"/>
          <w:color w:val="000000"/>
        </w:rPr>
        <w:t>, not only did Nurse Gardner testify that she was familiar with the standard</w:t>
      </w:r>
      <w:r w:rsidR="00D95BD6">
        <w:rPr>
          <w:rFonts w:eastAsia="Times New Roman"/>
          <w:color w:val="000000"/>
        </w:rPr>
        <w:t>s</w:t>
      </w:r>
      <w:r w:rsidR="00C261EC" w:rsidRPr="00470B29">
        <w:rPr>
          <w:rFonts w:eastAsia="Times New Roman"/>
          <w:color w:val="000000"/>
        </w:rPr>
        <w:t xml:space="preserve"> of care, she showed the jury how the lit</w:t>
      </w:r>
      <w:r w:rsidR="009E6D30">
        <w:rPr>
          <w:rFonts w:eastAsia="Times New Roman"/>
          <w:color w:val="000000"/>
        </w:rPr>
        <w:t xml:space="preserve">erature supported her testimony, testifying </w:t>
      </w:r>
      <w:r w:rsidR="005A111F" w:rsidRPr="009E6D30">
        <w:rPr>
          <w:rFonts w:eastAsia="Times New Roman"/>
          <w:color w:val="000000"/>
        </w:rPr>
        <w:t xml:space="preserve">that she edits </w:t>
      </w:r>
      <w:r w:rsidR="007D2C46" w:rsidRPr="009E6D30">
        <w:rPr>
          <w:rFonts w:eastAsia="Times New Roman"/>
          <w:color w:val="000000"/>
        </w:rPr>
        <w:t xml:space="preserve">a textbook, </w:t>
      </w:r>
      <w:r w:rsidR="007D2C46" w:rsidRPr="009E6D30">
        <w:rPr>
          <w:u w:val="single"/>
        </w:rPr>
        <w:t>Merenstein</w:t>
      </w:r>
      <w:r w:rsidR="00BF66AD">
        <w:rPr>
          <w:u w:val="single"/>
        </w:rPr>
        <w:t xml:space="preserve"> and Gardner’</w:t>
      </w:r>
      <w:r w:rsidR="007D2C46" w:rsidRPr="009E6D30">
        <w:rPr>
          <w:u w:val="single"/>
        </w:rPr>
        <w:t>s Handbook of Neonatal Intensive Care</w:t>
      </w:r>
      <w:r w:rsidR="007D2C46" w:rsidRPr="00470B29">
        <w:t>,</w:t>
      </w:r>
      <w:r w:rsidR="00EC670B" w:rsidRPr="00470B29">
        <w:t xml:space="preserve"> (</w:t>
      </w:r>
      <w:r w:rsidR="00F71212">
        <w:t>Plaintiff</w:t>
      </w:r>
      <w:r w:rsidR="00D57A33" w:rsidRPr="00470B29">
        <w:t>s</w:t>
      </w:r>
      <w:r w:rsidR="00F71212">
        <w:t>’</w:t>
      </w:r>
      <w:r w:rsidR="00EC670B" w:rsidRPr="00470B29">
        <w:t xml:space="preserve"> Trial Ex. 90)</w:t>
      </w:r>
      <w:r w:rsidR="007D2C46" w:rsidRPr="00470B29">
        <w:t xml:space="preserve"> now in its 8</w:t>
      </w:r>
      <w:r w:rsidR="007D2C46" w:rsidRPr="009E6D30">
        <w:rPr>
          <w:vertAlign w:val="superscript"/>
        </w:rPr>
        <w:t>th</w:t>
      </w:r>
      <w:r w:rsidR="007D2C46" w:rsidRPr="00470B29">
        <w:t xml:space="preserve"> edition, </w:t>
      </w:r>
      <w:r w:rsidR="005E5354" w:rsidRPr="00470B29">
        <w:t>which</w:t>
      </w:r>
      <w:r w:rsidR="007D2C46" w:rsidRPr="00470B29">
        <w:t xml:space="preserve"> </w:t>
      </w:r>
      <w:r w:rsidR="008D260A" w:rsidRPr="00470B29">
        <w:t>is reliable authority in the field of NICU nursing (</w:t>
      </w:r>
      <w:r w:rsidR="00BF66AD" w:rsidRPr="009E6D30">
        <w:rPr>
          <w:rFonts w:eastAsia="Times New Roman"/>
          <w:color w:val="000000"/>
        </w:rPr>
        <w:t xml:space="preserve">Defense Ex. 1, </w:t>
      </w:r>
      <w:r w:rsidR="00BF66AD" w:rsidRPr="009E6D30">
        <w:rPr>
          <w:rFonts w:eastAsia="Times New Roman"/>
          <w:color w:val="000000"/>
        </w:rPr>
        <w:lastRenderedPageBreak/>
        <w:t>Gardner Tr. at</w:t>
      </w:r>
      <w:r w:rsidR="00D95BD6">
        <w:t xml:space="preserve"> </w:t>
      </w:r>
      <w:r w:rsidR="008D260A" w:rsidRPr="00470B29">
        <w:t>33:22-25) and</w:t>
      </w:r>
      <w:r w:rsidR="007D2C46" w:rsidRPr="00470B29">
        <w:t xml:space="preserve"> </w:t>
      </w:r>
      <w:r w:rsidR="005A111F" w:rsidRPr="009E6D30">
        <w:rPr>
          <w:rFonts w:eastAsia="Times New Roman"/>
          <w:color w:val="000000"/>
        </w:rPr>
        <w:t>specifically</w:t>
      </w:r>
      <w:r w:rsidR="007D2C46" w:rsidRPr="009E6D30">
        <w:rPr>
          <w:rFonts w:eastAsia="Times New Roman"/>
          <w:color w:val="000000"/>
        </w:rPr>
        <w:t xml:space="preserve"> </w:t>
      </w:r>
      <w:r w:rsidR="008D260A" w:rsidRPr="009E6D30">
        <w:rPr>
          <w:rFonts w:eastAsia="Times New Roman"/>
          <w:color w:val="000000"/>
        </w:rPr>
        <w:t>discusses the</w:t>
      </w:r>
      <w:r w:rsidR="007D2C46" w:rsidRPr="009E6D30">
        <w:rPr>
          <w:rFonts w:eastAsia="Times New Roman"/>
          <w:color w:val="000000"/>
        </w:rPr>
        <w:t xml:space="preserve"> standard that</w:t>
      </w:r>
      <w:r w:rsidR="005A111F" w:rsidRPr="009E6D30">
        <w:rPr>
          <w:rFonts w:eastAsia="Times New Roman"/>
          <w:color w:val="000000"/>
        </w:rPr>
        <w:t xml:space="preserve"> applied </w:t>
      </w:r>
      <w:r w:rsidR="007D2C46" w:rsidRPr="009E6D30">
        <w:rPr>
          <w:rFonts w:eastAsia="Times New Roman"/>
          <w:color w:val="000000"/>
        </w:rPr>
        <w:t xml:space="preserve">in this case. </w:t>
      </w:r>
      <w:r w:rsidR="005A111F" w:rsidRPr="009E6D30">
        <w:rPr>
          <w:rFonts w:eastAsia="Times New Roman"/>
          <w:color w:val="000000"/>
        </w:rPr>
        <w:t>(</w:t>
      </w:r>
      <w:r w:rsidR="00D95BD6" w:rsidRPr="009E6D30">
        <w:rPr>
          <w:rFonts w:eastAsia="Times New Roman"/>
          <w:i/>
          <w:color w:val="000000"/>
        </w:rPr>
        <w:t>Id.</w:t>
      </w:r>
      <w:r w:rsidR="00D95BD6" w:rsidRPr="009E6D30">
        <w:rPr>
          <w:rFonts w:eastAsia="Times New Roman"/>
          <w:color w:val="000000"/>
        </w:rPr>
        <w:t xml:space="preserve"> at </w:t>
      </w:r>
      <w:r w:rsidR="005A111F" w:rsidRPr="009E6D30">
        <w:rPr>
          <w:rFonts w:eastAsia="Times New Roman"/>
          <w:color w:val="000000"/>
        </w:rPr>
        <w:t xml:space="preserve">30:20-24). </w:t>
      </w:r>
      <w:r w:rsidR="005E5354" w:rsidRPr="009E6D30">
        <w:rPr>
          <w:rFonts w:eastAsia="Times New Roman"/>
          <w:color w:val="000000"/>
        </w:rPr>
        <w:t xml:space="preserve">These standards </w:t>
      </w:r>
      <w:r w:rsidR="00E97B46" w:rsidRPr="009E6D30">
        <w:rPr>
          <w:rFonts w:eastAsia="Times New Roman"/>
          <w:color w:val="000000"/>
        </w:rPr>
        <w:t>included</w:t>
      </w:r>
      <w:r w:rsidR="008D0F2B" w:rsidRPr="009E6D30">
        <w:rPr>
          <w:rFonts w:eastAsia="Times New Roman"/>
          <w:color w:val="000000"/>
        </w:rPr>
        <w:t xml:space="preserve"> hourly checks of a PIV site, which she testified had been the standard of care for NICU nurses going back to at least the 2</w:t>
      </w:r>
      <w:r w:rsidR="008D0F2B" w:rsidRPr="009E6D30">
        <w:rPr>
          <w:rFonts w:eastAsia="Times New Roman"/>
          <w:color w:val="000000"/>
          <w:vertAlign w:val="superscript"/>
        </w:rPr>
        <w:t>nd</w:t>
      </w:r>
      <w:r w:rsidR="008D0F2B" w:rsidRPr="009E6D30">
        <w:rPr>
          <w:rFonts w:eastAsia="Times New Roman"/>
          <w:color w:val="000000"/>
        </w:rPr>
        <w:t xml:space="preserve"> edition of her textbook, published in 1989.</w:t>
      </w:r>
      <w:r w:rsidR="00EF3B04" w:rsidRPr="00470B29">
        <w:t xml:space="preserve"> (</w:t>
      </w:r>
      <w:r w:rsidR="00D95BD6" w:rsidRPr="009E6D30">
        <w:rPr>
          <w:i/>
        </w:rPr>
        <w:t>Id.</w:t>
      </w:r>
      <w:r w:rsidR="00D95BD6">
        <w:t xml:space="preserve"> at </w:t>
      </w:r>
      <w:r w:rsidR="00EF3B04" w:rsidRPr="00470B29">
        <w:t>31:11 – 33:2</w:t>
      </w:r>
      <w:r w:rsidR="00D95BD6">
        <w:t>.)</w:t>
      </w:r>
      <w:r w:rsidR="00F63060">
        <w:t xml:space="preserve"> </w:t>
      </w:r>
    </w:p>
    <w:p w:rsidR="00D83A5F" w:rsidRPr="00607A0C" w:rsidRDefault="00B4271B" w:rsidP="00D83A5F">
      <w:pPr>
        <w:shd w:val="clear" w:color="auto" w:fill="FFFFFF"/>
        <w:spacing w:line="480" w:lineRule="auto"/>
        <w:ind w:firstLine="720"/>
        <w:rPr>
          <w:rFonts w:eastAsia="Times New Roman"/>
          <w:color w:val="000000"/>
        </w:rPr>
      </w:pPr>
      <w:r>
        <w:rPr>
          <w:rFonts w:eastAsia="Times New Roman"/>
          <w:color w:val="000000"/>
        </w:rPr>
        <w:t xml:space="preserve">Since this is a national </w:t>
      </w:r>
      <w:r w:rsidR="00F63060">
        <w:rPr>
          <w:rFonts w:eastAsia="Times New Roman"/>
          <w:color w:val="000000"/>
        </w:rPr>
        <w:t xml:space="preserve">textbook for providing </w:t>
      </w:r>
      <w:r w:rsidR="006B2133">
        <w:rPr>
          <w:rFonts w:eastAsia="Times New Roman"/>
          <w:color w:val="000000"/>
        </w:rPr>
        <w:t>n</w:t>
      </w:r>
      <w:r w:rsidR="00F63060">
        <w:rPr>
          <w:rFonts w:eastAsia="Times New Roman"/>
          <w:color w:val="000000"/>
        </w:rPr>
        <w:t xml:space="preserve">eonatal </w:t>
      </w:r>
      <w:r w:rsidR="006B2133">
        <w:rPr>
          <w:rFonts w:eastAsia="Times New Roman"/>
          <w:color w:val="000000"/>
        </w:rPr>
        <w:t>i</w:t>
      </w:r>
      <w:r w:rsidR="00F63060">
        <w:rPr>
          <w:rFonts w:eastAsia="Times New Roman"/>
          <w:color w:val="000000"/>
        </w:rPr>
        <w:t xml:space="preserve">ntensive </w:t>
      </w:r>
      <w:r w:rsidR="006B2133">
        <w:rPr>
          <w:rFonts w:eastAsia="Times New Roman"/>
          <w:color w:val="000000"/>
        </w:rPr>
        <w:t>c</w:t>
      </w:r>
      <w:r w:rsidR="00F63060">
        <w:rPr>
          <w:rFonts w:eastAsia="Times New Roman"/>
          <w:color w:val="000000"/>
        </w:rPr>
        <w:t xml:space="preserve">are, the defendant’s suggestion that this </w:t>
      </w:r>
      <w:r>
        <w:rPr>
          <w:rFonts w:eastAsia="Times New Roman"/>
          <w:color w:val="000000"/>
        </w:rPr>
        <w:t>book</w:t>
      </w:r>
      <w:r w:rsidR="00F63060">
        <w:rPr>
          <w:rFonts w:eastAsia="Times New Roman"/>
          <w:color w:val="000000"/>
        </w:rPr>
        <w:t xml:space="preserve"> is </w:t>
      </w:r>
      <w:r>
        <w:rPr>
          <w:rFonts w:eastAsia="Times New Roman"/>
          <w:color w:val="000000"/>
        </w:rPr>
        <w:t>merely</w:t>
      </w:r>
      <w:r w:rsidR="00F63060">
        <w:rPr>
          <w:rFonts w:eastAsia="Times New Roman"/>
          <w:color w:val="000000"/>
        </w:rPr>
        <w:t xml:space="preserve"> Nurse Gardner’s personal opinion, or anything other than reflective of her national standard of care testimony, is absurd. </w:t>
      </w:r>
      <w:r w:rsidR="00FD0FD6">
        <w:rPr>
          <w:rFonts w:eastAsia="Times New Roman"/>
          <w:color w:val="000000"/>
        </w:rPr>
        <w:t>The textbook is not Nurse Gardner’s personal memoir, not is it state</w:t>
      </w:r>
      <w:r>
        <w:rPr>
          <w:rFonts w:eastAsia="Times New Roman"/>
          <w:color w:val="000000"/>
        </w:rPr>
        <w:t>-</w:t>
      </w:r>
      <w:r w:rsidR="00FD0FD6">
        <w:rPr>
          <w:rFonts w:eastAsia="Times New Roman"/>
          <w:color w:val="000000"/>
        </w:rPr>
        <w:t xml:space="preserve"> or locality</w:t>
      </w:r>
      <w:r>
        <w:rPr>
          <w:rFonts w:eastAsia="Times New Roman"/>
          <w:color w:val="000000"/>
        </w:rPr>
        <w:t>-</w:t>
      </w:r>
      <w:r w:rsidR="00FD0FD6">
        <w:rPr>
          <w:rFonts w:eastAsia="Times New Roman"/>
          <w:color w:val="000000"/>
        </w:rPr>
        <w:t xml:space="preserve">specific. </w:t>
      </w:r>
      <w:r w:rsidR="00291BCE">
        <w:rPr>
          <w:rFonts w:eastAsia="Times New Roman"/>
          <w:color w:val="000000"/>
        </w:rPr>
        <w:t xml:space="preserve">The fact that this treatise is </w:t>
      </w:r>
      <w:r>
        <w:rPr>
          <w:rFonts w:eastAsia="Times New Roman"/>
          <w:color w:val="000000"/>
        </w:rPr>
        <w:t xml:space="preserve">about to be republished </w:t>
      </w:r>
      <w:r w:rsidR="00291BCE">
        <w:rPr>
          <w:rFonts w:eastAsia="Times New Roman"/>
          <w:color w:val="000000"/>
        </w:rPr>
        <w:t xml:space="preserve">in its ninth edition is itself evidence of the book’s widespread acceptance as authority in its field. </w:t>
      </w:r>
      <w:r w:rsidR="00D11FC3">
        <w:rPr>
          <w:rFonts w:eastAsia="Times New Roman"/>
          <w:color w:val="000000"/>
        </w:rPr>
        <w:t>Georgetown would have this Court u</w:t>
      </w:r>
      <w:r w:rsidR="00A2212B">
        <w:rPr>
          <w:rFonts w:eastAsia="Times New Roman"/>
          <w:color w:val="000000"/>
        </w:rPr>
        <w:t xml:space="preserve">se the fact that Nurse Gardner </w:t>
      </w:r>
      <w:r w:rsidR="00D11FC3">
        <w:rPr>
          <w:rFonts w:eastAsia="Times New Roman"/>
          <w:color w:val="000000"/>
        </w:rPr>
        <w:t>and Dr. Hermansen (</w:t>
      </w:r>
      <w:r w:rsidR="00D02437">
        <w:rPr>
          <w:rFonts w:eastAsia="Times New Roman"/>
          <w:color w:val="000000"/>
        </w:rPr>
        <w:t>see</w:t>
      </w:r>
      <w:r w:rsidR="00D11FC3">
        <w:rPr>
          <w:rFonts w:eastAsia="Times New Roman"/>
          <w:color w:val="000000"/>
        </w:rPr>
        <w:t xml:space="preserve"> below) have published on</w:t>
      </w:r>
      <w:r w:rsidR="00A2212B">
        <w:rPr>
          <w:rFonts w:eastAsia="Times New Roman"/>
          <w:color w:val="000000"/>
        </w:rPr>
        <w:t xml:space="preserve"> IV infiltrations </w:t>
      </w:r>
      <w:r w:rsidR="00D11FC3">
        <w:rPr>
          <w:rFonts w:eastAsia="Times New Roman"/>
          <w:color w:val="000000"/>
        </w:rPr>
        <w:t>against them, demoting their publications to mere “personal opinions.” On the contrary, not only are Nurse Gardner and Dr. Hermansen familiar with the national standard</w:t>
      </w:r>
      <w:r w:rsidR="00167C18">
        <w:rPr>
          <w:rFonts w:eastAsia="Times New Roman"/>
          <w:color w:val="000000"/>
        </w:rPr>
        <w:t>s</w:t>
      </w:r>
      <w:r w:rsidR="00D11FC3">
        <w:rPr>
          <w:rFonts w:eastAsia="Times New Roman"/>
          <w:color w:val="000000"/>
        </w:rPr>
        <w:t xml:space="preserve"> of care – they </w:t>
      </w:r>
      <w:r w:rsidR="00607A0C">
        <w:rPr>
          <w:rFonts w:eastAsia="Times New Roman"/>
          <w:color w:val="000000"/>
        </w:rPr>
        <w:t>and their publications are recognized by their peers as authorities on what the standard</w:t>
      </w:r>
      <w:r w:rsidR="00D110CA">
        <w:rPr>
          <w:rFonts w:eastAsia="Times New Roman"/>
          <w:color w:val="000000"/>
        </w:rPr>
        <w:t>s</w:t>
      </w:r>
      <w:r w:rsidR="00607A0C">
        <w:rPr>
          <w:rFonts w:eastAsia="Times New Roman"/>
          <w:color w:val="000000"/>
        </w:rPr>
        <w:t xml:space="preserve"> of care </w:t>
      </w:r>
      <w:r w:rsidR="00D110CA">
        <w:rPr>
          <w:rFonts w:eastAsia="Times New Roman"/>
          <w:color w:val="000000"/>
        </w:rPr>
        <w:t>are</w:t>
      </w:r>
      <w:r w:rsidR="00607A0C">
        <w:rPr>
          <w:rFonts w:eastAsia="Times New Roman"/>
          <w:color w:val="000000"/>
        </w:rPr>
        <w:t xml:space="preserve">. </w:t>
      </w:r>
    </w:p>
    <w:p w:rsidR="00EC670B" w:rsidRPr="00D83A5F" w:rsidRDefault="00DA3061" w:rsidP="00D83A5F">
      <w:pPr>
        <w:shd w:val="clear" w:color="auto" w:fill="FFFFFF"/>
        <w:spacing w:line="480" w:lineRule="auto"/>
        <w:ind w:firstLine="720"/>
        <w:rPr>
          <w:rFonts w:eastAsia="Times New Roman"/>
          <w:color w:val="000000"/>
        </w:rPr>
      </w:pPr>
      <w:r w:rsidRPr="00D83A5F">
        <w:rPr>
          <w:rFonts w:eastAsia="Times New Roman"/>
          <w:color w:val="000000"/>
        </w:rPr>
        <w:t>Nurse Gardner</w:t>
      </w:r>
      <w:r w:rsidR="00D83A5F">
        <w:rPr>
          <w:rFonts w:eastAsia="Times New Roman"/>
          <w:color w:val="000000"/>
        </w:rPr>
        <w:t xml:space="preserve"> also</w:t>
      </w:r>
      <w:r w:rsidRPr="00D83A5F">
        <w:rPr>
          <w:rFonts w:eastAsia="Times New Roman"/>
          <w:color w:val="000000"/>
        </w:rPr>
        <w:t xml:space="preserve"> cited </w:t>
      </w:r>
      <w:r w:rsidR="00EC670B" w:rsidRPr="00D83A5F">
        <w:rPr>
          <w:rFonts w:eastAsia="Times New Roman"/>
          <w:color w:val="000000"/>
        </w:rPr>
        <w:t>an article from</w:t>
      </w:r>
      <w:r w:rsidRPr="00D83A5F">
        <w:rPr>
          <w:rFonts w:eastAsia="Times New Roman"/>
          <w:color w:val="000000"/>
        </w:rPr>
        <w:t xml:space="preserve"> the American Journal of Nursing, which is the official journal of the American Nursing Association. </w:t>
      </w:r>
      <w:r w:rsidR="002E79C8" w:rsidRPr="00D83A5F">
        <w:rPr>
          <w:rFonts w:eastAsia="Times New Roman"/>
          <w:color w:val="000000"/>
        </w:rPr>
        <w:t>(</w:t>
      </w:r>
      <w:r w:rsidR="00F71212" w:rsidRPr="00D83A5F">
        <w:rPr>
          <w:rFonts w:eastAsia="Times New Roman"/>
          <w:i/>
          <w:color w:val="000000"/>
        </w:rPr>
        <w:t xml:space="preserve">Id. </w:t>
      </w:r>
      <w:r w:rsidR="00F71212" w:rsidRPr="00D83A5F">
        <w:rPr>
          <w:rFonts w:eastAsia="Times New Roman"/>
          <w:color w:val="000000"/>
        </w:rPr>
        <w:t xml:space="preserve">at </w:t>
      </w:r>
      <w:r w:rsidR="002E79C8" w:rsidRPr="00D83A5F">
        <w:rPr>
          <w:rFonts w:eastAsia="Times New Roman"/>
          <w:color w:val="000000"/>
        </w:rPr>
        <w:t>33:6-19</w:t>
      </w:r>
      <w:r w:rsidR="00415ECD" w:rsidRPr="00D83A5F">
        <w:rPr>
          <w:rFonts w:eastAsia="Times New Roman"/>
          <w:color w:val="000000"/>
        </w:rPr>
        <w:t>; Plaintiffs’ Trial Ex. 86</w:t>
      </w:r>
      <w:r w:rsidR="002E79C8" w:rsidRPr="00D83A5F">
        <w:rPr>
          <w:rFonts w:eastAsia="Times New Roman"/>
          <w:color w:val="000000"/>
        </w:rPr>
        <w:t xml:space="preserve">). </w:t>
      </w:r>
      <w:r w:rsidR="00EC670B" w:rsidRPr="00D83A5F">
        <w:rPr>
          <w:rFonts w:eastAsia="Times New Roman"/>
          <w:color w:val="000000"/>
        </w:rPr>
        <w:t>This a</w:t>
      </w:r>
      <w:r w:rsidR="00EC670B" w:rsidRPr="00470B29">
        <w:t xml:space="preserve">rticle, called </w:t>
      </w:r>
      <w:r w:rsidR="00415ECD" w:rsidRPr="00D83A5F">
        <w:rPr>
          <w:u w:val="single"/>
        </w:rPr>
        <w:t xml:space="preserve">Infiltration and Extravasation: </w:t>
      </w:r>
      <w:r w:rsidR="00D83A5F">
        <w:rPr>
          <w:u w:val="single"/>
        </w:rPr>
        <w:t xml:space="preserve">Preventing a complication of IV </w:t>
      </w:r>
      <w:r w:rsidR="00415ECD" w:rsidRPr="00D83A5F">
        <w:rPr>
          <w:u w:val="single"/>
        </w:rPr>
        <w:t>catheterization</w:t>
      </w:r>
      <w:r w:rsidR="00415ECD" w:rsidRPr="00470B29">
        <w:t xml:space="preserve">, also stated the standard of care: </w:t>
      </w:r>
    </w:p>
    <w:p w:rsidR="00415ECD" w:rsidRPr="00470B29" w:rsidRDefault="00415ECD" w:rsidP="00805310">
      <w:pPr>
        <w:autoSpaceDE w:val="0"/>
        <w:autoSpaceDN w:val="0"/>
        <w:adjustRightInd w:val="0"/>
        <w:ind w:left="1440" w:right="2180"/>
        <w:jc w:val="both"/>
      </w:pPr>
    </w:p>
    <w:p w:rsidR="00D57A33" w:rsidRPr="00470B29" w:rsidRDefault="00D57A33" w:rsidP="00805310">
      <w:pPr>
        <w:autoSpaceDE w:val="0"/>
        <w:autoSpaceDN w:val="0"/>
        <w:adjustRightInd w:val="0"/>
        <w:ind w:left="1440" w:right="2180"/>
        <w:jc w:val="both"/>
      </w:pPr>
      <w:r w:rsidRPr="00470B29">
        <w:t xml:space="preserve">[At] the very first sign or symptom of infiltration or </w:t>
      </w:r>
      <w:r w:rsidRPr="00C31CE2">
        <w:rPr>
          <w:noProof/>
        </w:rPr>
        <w:t>extravas</w:t>
      </w:r>
      <w:r w:rsidR="00800A57">
        <w:rPr>
          <w:noProof/>
        </w:rPr>
        <w:t>a</w:t>
      </w:r>
      <w:r w:rsidRPr="00C31CE2">
        <w:rPr>
          <w:noProof/>
        </w:rPr>
        <w:t>tion</w:t>
      </w:r>
      <w:r w:rsidR="00805310" w:rsidRPr="00470B29">
        <w:t>,</w:t>
      </w:r>
      <w:r w:rsidRPr="00470B29">
        <w:t xml:space="preserve"> immediately stop the infusion or the injection.</w:t>
      </w:r>
      <w:r w:rsidR="00805310" w:rsidRPr="00470B29">
        <w:t xml:space="preserve"> </w:t>
      </w:r>
    </w:p>
    <w:p w:rsidR="00805310" w:rsidRPr="00470B29" w:rsidRDefault="00805310" w:rsidP="00805310">
      <w:pPr>
        <w:autoSpaceDE w:val="0"/>
        <w:autoSpaceDN w:val="0"/>
        <w:adjustRightInd w:val="0"/>
        <w:ind w:left="1440" w:right="2180"/>
        <w:jc w:val="both"/>
      </w:pPr>
    </w:p>
    <w:p w:rsidR="00805310" w:rsidRPr="00470B29" w:rsidRDefault="00805310" w:rsidP="00805310">
      <w:pPr>
        <w:autoSpaceDE w:val="0"/>
        <w:autoSpaceDN w:val="0"/>
        <w:adjustRightInd w:val="0"/>
        <w:ind w:left="1440" w:right="2180"/>
        <w:jc w:val="both"/>
      </w:pPr>
      <w:r w:rsidRPr="00470B29">
        <w:t>Estimate the volume of fluid or medication that escaped into the subcutaneous tissue according to the flow rate, the condition of the site in comparison with the previous observation, and the length of time between observations.</w:t>
      </w:r>
    </w:p>
    <w:p w:rsidR="00415ECD" w:rsidRPr="00470B29" w:rsidRDefault="00415ECD" w:rsidP="00415ECD">
      <w:pPr>
        <w:pStyle w:val="ListParagraph"/>
        <w:shd w:val="clear" w:color="auto" w:fill="FFFFFF"/>
        <w:ind w:left="1440"/>
        <w:rPr>
          <w:rFonts w:eastAsia="Times New Roman"/>
          <w:color w:val="000000"/>
          <w:u w:val="single"/>
        </w:rPr>
      </w:pPr>
    </w:p>
    <w:p w:rsidR="00415ECD" w:rsidRPr="00470B29" w:rsidRDefault="00805310" w:rsidP="00805310">
      <w:pPr>
        <w:shd w:val="clear" w:color="auto" w:fill="FFFFFF"/>
        <w:spacing w:line="480" w:lineRule="auto"/>
        <w:rPr>
          <w:rFonts w:eastAsia="Times New Roman"/>
          <w:color w:val="000000"/>
        </w:rPr>
      </w:pPr>
      <w:r w:rsidRPr="00470B29">
        <w:rPr>
          <w:rFonts w:eastAsia="Times New Roman"/>
          <w:color w:val="000000"/>
        </w:rPr>
        <w:t>(</w:t>
      </w:r>
      <w:r w:rsidR="0004520F">
        <w:rPr>
          <w:rFonts w:eastAsia="Times New Roman"/>
          <w:i/>
          <w:color w:val="000000"/>
        </w:rPr>
        <w:t>Id.</w:t>
      </w:r>
      <w:r w:rsidR="0004520F">
        <w:rPr>
          <w:rFonts w:eastAsia="Times New Roman"/>
          <w:color w:val="000000"/>
        </w:rPr>
        <w:t xml:space="preserve"> at </w:t>
      </w:r>
      <w:r w:rsidR="00760B3D">
        <w:rPr>
          <w:rFonts w:eastAsia="Times New Roman"/>
          <w:color w:val="000000"/>
        </w:rPr>
        <w:t>34-35.)</w:t>
      </w:r>
    </w:p>
    <w:p w:rsidR="000909AA" w:rsidRPr="00470B29" w:rsidRDefault="00117E1E" w:rsidP="000909AA">
      <w:pPr>
        <w:shd w:val="clear" w:color="auto" w:fill="FFFFFF"/>
        <w:spacing w:line="480" w:lineRule="auto"/>
        <w:ind w:firstLine="720"/>
        <w:rPr>
          <w:rFonts w:eastAsia="Times New Roman"/>
          <w:color w:val="000000"/>
        </w:rPr>
      </w:pPr>
      <w:r w:rsidRPr="00470B29">
        <w:rPr>
          <w:rFonts w:eastAsia="Times New Roman"/>
          <w:color w:val="000000"/>
        </w:rPr>
        <w:lastRenderedPageBreak/>
        <w:t xml:space="preserve">Georgetown’s own policies and procedures reflected this same standard of care. (Ex. </w:t>
      </w:r>
      <w:r w:rsidR="003E3085">
        <w:rPr>
          <w:rFonts w:eastAsia="Times New Roman"/>
          <w:color w:val="000000"/>
        </w:rPr>
        <w:t>1,</w:t>
      </w:r>
      <w:r w:rsidRPr="00470B29">
        <w:rPr>
          <w:rFonts w:eastAsia="Times New Roman"/>
          <w:color w:val="000000"/>
        </w:rPr>
        <w:t xml:space="preserve"> Georgetown’s NICU Policies, Plaintiffs’ Trial Ex. </w:t>
      </w:r>
      <w:r w:rsidR="000909AA" w:rsidRPr="00470B29">
        <w:rPr>
          <w:rFonts w:eastAsia="Times New Roman"/>
          <w:color w:val="000000"/>
        </w:rPr>
        <w:t>47</w:t>
      </w:r>
      <w:r w:rsidR="009D0E9D">
        <w:rPr>
          <w:rFonts w:eastAsia="Times New Roman"/>
          <w:color w:val="000000"/>
        </w:rPr>
        <w:t>.</w:t>
      </w:r>
      <w:r w:rsidR="00524E55">
        <w:rPr>
          <w:rFonts w:eastAsia="Times New Roman"/>
          <w:color w:val="000000"/>
        </w:rPr>
        <w:t>) These policies</w:t>
      </w:r>
      <w:r w:rsidRPr="00470B29">
        <w:rPr>
          <w:rFonts w:eastAsia="Times New Roman"/>
          <w:color w:val="000000"/>
        </w:rPr>
        <w:t xml:space="preserve"> required Georgetown’s NICU nurses to check th</w:t>
      </w:r>
      <w:r w:rsidR="00524E55">
        <w:rPr>
          <w:rFonts w:eastAsia="Times New Roman"/>
          <w:color w:val="000000"/>
        </w:rPr>
        <w:t xml:space="preserve">e IV site </w:t>
      </w:r>
      <w:r w:rsidR="00524E55" w:rsidRPr="00800A57">
        <w:rPr>
          <w:rFonts w:eastAsia="Times New Roman"/>
          <w:noProof/>
          <w:color w:val="000000"/>
        </w:rPr>
        <w:t>hourly</w:t>
      </w:r>
      <w:r w:rsidR="00524E55">
        <w:rPr>
          <w:rFonts w:eastAsia="Times New Roman"/>
          <w:color w:val="000000"/>
        </w:rPr>
        <w:t xml:space="preserve"> and to remove</w:t>
      </w:r>
      <w:r w:rsidRPr="00470B29">
        <w:rPr>
          <w:rFonts w:eastAsia="Times New Roman"/>
          <w:color w:val="000000"/>
        </w:rPr>
        <w:t xml:space="preserve"> a PIV at the first sign of infiltration. </w:t>
      </w:r>
    </w:p>
    <w:p w:rsidR="000909AA" w:rsidRPr="00470B29" w:rsidRDefault="000909AA" w:rsidP="00230D38">
      <w:pPr>
        <w:shd w:val="clear" w:color="auto" w:fill="FFFFFF"/>
        <w:ind w:left="990" w:right="920"/>
        <w:jc w:val="both"/>
      </w:pPr>
      <w:r w:rsidRPr="00470B29">
        <w:t xml:space="preserve">7) Assess the catheter insertion site and perfusion to the areas distal to </w:t>
      </w:r>
    </w:p>
    <w:p w:rsidR="000909AA" w:rsidRPr="00470B29" w:rsidRDefault="000909AA" w:rsidP="00230D38">
      <w:pPr>
        <w:shd w:val="clear" w:color="auto" w:fill="FFFFFF"/>
        <w:ind w:left="990" w:right="920"/>
        <w:jc w:val="both"/>
      </w:pPr>
      <w:r w:rsidRPr="00470B29">
        <w:t xml:space="preserve">the catheter insertion, with appropriate documentation, at least hourly. </w:t>
      </w:r>
    </w:p>
    <w:p w:rsidR="00230D38" w:rsidRPr="00470B29" w:rsidRDefault="00230D38" w:rsidP="00230D38">
      <w:pPr>
        <w:shd w:val="clear" w:color="auto" w:fill="FFFFFF"/>
        <w:ind w:left="990" w:right="920"/>
        <w:jc w:val="both"/>
      </w:pPr>
    </w:p>
    <w:p w:rsidR="00B171EF" w:rsidRPr="00470B29" w:rsidRDefault="000909AA" w:rsidP="00230D38">
      <w:pPr>
        <w:shd w:val="clear" w:color="auto" w:fill="FFFFFF"/>
        <w:spacing w:line="480" w:lineRule="auto"/>
        <w:ind w:left="990" w:right="920"/>
        <w:jc w:val="both"/>
      </w:pPr>
      <w:r w:rsidRPr="00470B29">
        <w:t>8) If signs of infiltration are noted, stop the infusion immediately.</w:t>
      </w:r>
    </w:p>
    <w:p w:rsidR="00812335" w:rsidRPr="00524E55" w:rsidRDefault="00524E55" w:rsidP="00524E55">
      <w:pPr>
        <w:shd w:val="clear" w:color="auto" w:fill="FFFFFF"/>
        <w:spacing w:line="480" w:lineRule="auto"/>
        <w:rPr>
          <w:rFonts w:eastAsia="Times New Roman"/>
          <w:color w:val="000000"/>
        </w:rPr>
      </w:pPr>
      <w:r w:rsidRPr="00470B29">
        <w:rPr>
          <w:rFonts w:eastAsia="Times New Roman"/>
          <w:color w:val="000000"/>
        </w:rPr>
        <w:t>(</w:t>
      </w:r>
      <w:r>
        <w:rPr>
          <w:rFonts w:eastAsia="Times New Roman"/>
          <w:i/>
          <w:color w:val="000000"/>
        </w:rPr>
        <w:t xml:space="preserve">Id. </w:t>
      </w:r>
      <w:r>
        <w:rPr>
          <w:rFonts w:eastAsia="Times New Roman"/>
          <w:color w:val="000000"/>
        </w:rPr>
        <w:t>at 2.)</w:t>
      </w:r>
    </w:p>
    <w:p w:rsidR="00B171EF" w:rsidRPr="00470B29" w:rsidRDefault="00B171EF" w:rsidP="00524E55">
      <w:pPr>
        <w:shd w:val="clear" w:color="auto" w:fill="FFFFFF"/>
        <w:spacing w:line="480" w:lineRule="auto"/>
        <w:ind w:firstLine="720"/>
        <w:rPr>
          <w:rStyle w:val="apple-converted-space"/>
        </w:rPr>
      </w:pPr>
      <w:r w:rsidRPr="00470B29">
        <w:t xml:space="preserve">“A plaintiff’s expert may </w:t>
      </w:r>
      <w:r w:rsidRPr="00B171EF">
        <w:rPr>
          <w:rFonts w:eastAsia="Times New Roman"/>
          <w:shd w:val="clear" w:color="auto" w:fill="FFFFFF"/>
        </w:rPr>
        <w:t>point to rules or guidelines set forth in a defendant's own guidebook or its standard operating</w:t>
      </w:r>
      <w:r w:rsidRPr="00470B29">
        <w:rPr>
          <w:rFonts w:eastAsia="Times New Roman"/>
          <w:shd w:val="clear" w:color="auto" w:fill="FFFFFF"/>
        </w:rPr>
        <w:t> </w:t>
      </w:r>
      <w:r w:rsidRPr="00B171EF">
        <w:rPr>
          <w:rFonts w:eastAsia="Times New Roman"/>
          <w:shd w:val="clear" w:color="auto" w:fill="FFFFFF"/>
        </w:rPr>
        <w:t>procedures</w:t>
      </w:r>
      <w:r w:rsidRPr="00470B29">
        <w:rPr>
          <w:rFonts w:eastAsia="Times New Roman"/>
          <w:shd w:val="clear" w:color="auto" w:fill="FFFFFF"/>
        </w:rPr>
        <w:t> </w:t>
      </w:r>
      <w:r w:rsidRPr="00B171EF">
        <w:rPr>
          <w:rFonts w:eastAsia="Times New Roman"/>
          <w:shd w:val="clear" w:color="auto" w:fill="FFFFFF"/>
        </w:rPr>
        <w:t>as</w:t>
      </w:r>
      <w:r w:rsidRPr="00470B29">
        <w:rPr>
          <w:rFonts w:eastAsia="Times New Roman"/>
          <w:shd w:val="clear" w:color="auto" w:fill="FFFFFF"/>
        </w:rPr>
        <w:t> </w:t>
      </w:r>
      <w:r w:rsidRPr="00B171EF">
        <w:rPr>
          <w:rFonts w:eastAsia="Times New Roman"/>
          <w:shd w:val="clear" w:color="auto" w:fill="FFFFFF"/>
        </w:rPr>
        <w:t>evidence</w:t>
      </w:r>
      <w:r w:rsidRPr="00470B29">
        <w:rPr>
          <w:rFonts w:eastAsia="Times New Roman"/>
          <w:shd w:val="clear" w:color="auto" w:fill="FFFFFF"/>
        </w:rPr>
        <w:t> </w:t>
      </w:r>
      <w:r w:rsidRPr="00B171EF">
        <w:rPr>
          <w:rFonts w:eastAsia="Times New Roman"/>
          <w:shd w:val="clear" w:color="auto" w:fill="FFFFFF"/>
        </w:rPr>
        <w:t>of the</w:t>
      </w:r>
      <w:r w:rsidRPr="00470B29">
        <w:rPr>
          <w:rFonts w:eastAsia="Times New Roman"/>
          <w:shd w:val="clear" w:color="auto" w:fill="FFFFFF"/>
        </w:rPr>
        <w:t> </w:t>
      </w:r>
      <w:r w:rsidRPr="00B171EF">
        <w:rPr>
          <w:rFonts w:eastAsia="Times New Roman"/>
          <w:shd w:val="clear" w:color="auto" w:fill="FFFFFF"/>
        </w:rPr>
        <w:t>standard</w:t>
      </w:r>
      <w:r w:rsidRPr="00470B29">
        <w:rPr>
          <w:rFonts w:eastAsia="Times New Roman"/>
          <w:shd w:val="clear" w:color="auto" w:fill="FFFFFF"/>
        </w:rPr>
        <w:t> </w:t>
      </w:r>
      <w:r w:rsidRPr="00B171EF">
        <w:rPr>
          <w:rFonts w:eastAsia="Times New Roman"/>
          <w:shd w:val="clear" w:color="auto" w:fill="FFFFFF"/>
        </w:rPr>
        <w:t>of</w:t>
      </w:r>
      <w:r w:rsidRPr="00470B29">
        <w:rPr>
          <w:rFonts w:eastAsia="Times New Roman"/>
          <w:shd w:val="clear" w:color="auto" w:fill="FFFFFF"/>
        </w:rPr>
        <w:t> care” as long as the expert</w:t>
      </w:r>
      <w:r w:rsidRPr="00B171EF">
        <w:rPr>
          <w:rFonts w:eastAsia="Times New Roman"/>
          <w:shd w:val="clear" w:color="auto" w:fill="FFFFFF"/>
        </w:rPr>
        <w:t xml:space="preserve"> adequately demonstrate</w:t>
      </w:r>
      <w:r w:rsidRPr="00470B29">
        <w:rPr>
          <w:rFonts w:eastAsia="Times New Roman"/>
          <w:shd w:val="clear" w:color="auto" w:fill="FFFFFF"/>
        </w:rPr>
        <w:t>s</w:t>
      </w:r>
      <w:r w:rsidRPr="00B171EF">
        <w:rPr>
          <w:rFonts w:eastAsia="Times New Roman"/>
          <w:shd w:val="clear" w:color="auto" w:fill="FFFFFF"/>
        </w:rPr>
        <w:t xml:space="preserve"> that those rules or guidelines reflect or embody a </w:t>
      </w:r>
      <w:r w:rsidR="00800A57">
        <w:rPr>
          <w:rFonts w:eastAsia="Times New Roman"/>
          <w:shd w:val="clear" w:color="auto" w:fill="FFFFFF"/>
        </w:rPr>
        <w:t xml:space="preserve">national </w:t>
      </w:r>
      <w:r w:rsidRPr="00B171EF">
        <w:rPr>
          <w:rFonts w:eastAsia="Times New Roman"/>
          <w:shd w:val="clear" w:color="auto" w:fill="FFFFFF"/>
        </w:rPr>
        <w:t>standard</w:t>
      </w:r>
      <w:r w:rsidRPr="00470B29">
        <w:rPr>
          <w:rFonts w:eastAsia="Times New Roman"/>
          <w:shd w:val="clear" w:color="auto" w:fill="FFFFFF"/>
        </w:rPr>
        <w:t> </w:t>
      </w:r>
      <w:r w:rsidRPr="00B171EF">
        <w:rPr>
          <w:rFonts w:eastAsia="Times New Roman"/>
          <w:shd w:val="clear" w:color="auto" w:fill="FFFFFF"/>
        </w:rPr>
        <w:t>of</w:t>
      </w:r>
      <w:r w:rsidRPr="00470B29">
        <w:rPr>
          <w:rFonts w:eastAsia="Times New Roman"/>
          <w:shd w:val="clear" w:color="auto" w:fill="FFFFFF"/>
        </w:rPr>
        <w:t> </w:t>
      </w:r>
      <w:r w:rsidRPr="00B171EF">
        <w:rPr>
          <w:rFonts w:eastAsia="Times New Roman"/>
          <w:shd w:val="clear" w:color="auto" w:fill="FFFFFF"/>
        </w:rPr>
        <w:t>care.</w:t>
      </w:r>
      <w:r w:rsidRPr="00470B29">
        <w:rPr>
          <w:rFonts w:eastAsia="Times New Roman"/>
          <w:shd w:val="clear" w:color="auto" w:fill="FFFFFF"/>
        </w:rPr>
        <w:t> </w:t>
      </w:r>
      <w:r w:rsidRPr="00B171EF">
        <w:rPr>
          <w:rFonts w:eastAsia="Times New Roman"/>
          <w:i/>
          <w:iCs/>
        </w:rPr>
        <w:t>Robinson v. Washington Metro. Area Transit Auth.</w:t>
      </w:r>
      <w:r w:rsidRPr="00B171EF">
        <w:rPr>
          <w:rFonts w:eastAsia="Times New Roman"/>
        </w:rPr>
        <w:t>, 941 F. Supp. 2d 61, 68 (D.D.C. 2013),</w:t>
      </w:r>
      <w:r w:rsidRPr="00470B29">
        <w:rPr>
          <w:rFonts w:eastAsia="Times New Roman"/>
        </w:rPr>
        <w:t> </w:t>
      </w:r>
      <w:r w:rsidRPr="00800A57">
        <w:rPr>
          <w:rFonts w:eastAsia="Times New Roman"/>
          <w:i/>
          <w:iCs/>
          <w:noProof/>
        </w:rPr>
        <w:t>aff'd</w:t>
      </w:r>
      <w:r w:rsidRPr="00B171EF">
        <w:rPr>
          <w:rFonts w:eastAsia="Times New Roman"/>
          <w:i/>
          <w:iCs/>
        </w:rPr>
        <w:t>,</w:t>
      </w:r>
      <w:r w:rsidRPr="00470B29">
        <w:rPr>
          <w:rFonts w:eastAsia="Times New Roman"/>
        </w:rPr>
        <w:t> </w:t>
      </w:r>
      <w:r w:rsidRPr="00B171EF">
        <w:rPr>
          <w:rFonts w:eastAsia="Times New Roman"/>
        </w:rPr>
        <w:t>774 F.3d 33 (D.C. Cir. 2014)</w:t>
      </w:r>
      <w:r w:rsidR="006C3B52" w:rsidRPr="00470B29">
        <w:rPr>
          <w:rFonts w:eastAsia="Times New Roman"/>
        </w:rPr>
        <w:t xml:space="preserve"> </w:t>
      </w:r>
      <w:r w:rsidR="006C3B52" w:rsidRPr="00470B29">
        <w:rPr>
          <w:rFonts w:eastAsia="Times New Roman"/>
          <w:i/>
          <w:iCs/>
        </w:rPr>
        <w:t>(citing</w:t>
      </w:r>
      <w:r w:rsidR="006C3B52" w:rsidRPr="00470B29">
        <w:t xml:space="preserve"> </w:t>
      </w:r>
      <w:hyperlink r:id="rId8" w:anchor="co_pp_sp_162_635" w:history="1">
        <w:r w:rsidR="006C3B52" w:rsidRPr="00524E55">
          <w:rPr>
            <w:rStyle w:val="Emphasis"/>
          </w:rPr>
          <w:t>Clark v. Dist. of Columbia,</w:t>
        </w:r>
        <w:r w:rsidR="006C3B52" w:rsidRPr="00524E55">
          <w:rPr>
            <w:rStyle w:val="apple-converted-space"/>
          </w:rPr>
          <w:t> </w:t>
        </w:r>
        <w:r w:rsidR="006C3B52" w:rsidRPr="00524E55">
          <w:rPr>
            <w:rStyle w:val="Hyperlink"/>
            <w:color w:val="auto"/>
            <w:u w:val="none"/>
          </w:rPr>
          <w:t>708 A.2d 632, 635 (D.C.1997)</w:t>
        </w:r>
      </w:hyperlink>
      <w:r w:rsidR="006C3B52" w:rsidRPr="00524E55">
        <w:rPr>
          <w:rStyle w:val="apple-converted-space"/>
        </w:rPr>
        <w:t>)</w:t>
      </w:r>
      <w:r w:rsidR="006C3B52" w:rsidRPr="00470B29">
        <w:rPr>
          <w:rStyle w:val="apple-converted-space"/>
        </w:rPr>
        <w:t xml:space="preserve">. </w:t>
      </w:r>
    </w:p>
    <w:p w:rsidR="006C3B52" w:rsidRPr="00BD22E9" w:rsidRDefault="006C3B52" w:rsidP="006C3B52">
      <w:pPr>
        <w:shd w:val="clear" w:color="auto" w:fill="FFFFFF"/>
        <w:spacing w:line="480" w:lineRule="auto"/>
        <w:rPr>
          <w:rStyle w:val="apple-converted-space"/>
          <w:i/>
        </w:rPr>
      </w:pPr>
      <w:r w:rsidRPr="00470B29">
        <w:rPr>
          <w:rStyle w:val="apple-converted-space"/>
        </w:rPr>
        <w:tab/>
      </w:r>
      <w:r w:rsidR="00F96947" w:rsidRPr="00470B29">
        <w:rPr>
          <w:rStyle w:val="apple-converted-space"/>
        </w:rPr>
        <w:t xml:space="preserve">Not only did Georgetown’s policies and procedures (which were entered into evidence without objection) facially match Nurse Gardner’s </w:t>
      </w:r>
      <w:r w:rsidR="00524E55">
        <w:rPr>
          <w:rStyle w:val="apple-converted-space"/>
        </w:rPr>
        <w:t xml:space="preserve">national </w:t>
      </w:r>
      <w:r w:rsidR="00F96947" w:rsidRPr="00470B29">
        <w:rPr>
          <w:rStyle w:val="apple-converted-space"/>
        </w:rPr>
        <w:t xml:space="preserve">standard of care testimony, but </w:t>
      </w:r>
      <w:r w:rsidRPr="00470B29">
        <w:rPr>
          <w:rStyle w:val="apple-converted-space"/>
        </w:rPr>
        <w:t xml:space="preserve">Nurse Gardner </w:t>
      </w:r>
      <w:r w:rsidR="00F96947" w:rsidRPr="00470B29">
        <w:rPr>
          <w:rStyle w:val="apple-converted-space"/>
        </w:rPr>
        <w:t>explained</w:t>
      </w:r>
      <w:r w:rsidRPr="00470B29">
        <w:rPr>
          <w:rStyle w:val="apple-converted-space"/>
        </w:rPr>
        <w:t xml:space="preserve"> </w:t>
      </w:r>
      <w:r w:rsidR="00222CD6" w:rsidRPr="00470B29">
        <w:rPr>
          <w:rStyle w:val="apple-converted-space"/>
        </w:rPr>
        <w:t xml:space="preserve">several times </w:t>
      </w:r>
      <w:r w:rsidR="00F96947" w:rsidRPr="00470B29">
        <w:rPr>
          <w:rStyle w:val="apple-converted-space"/>
        </w:rPr>
        <w:t>how</w:t>
      </w:r>
      <w:r w:rsidR="00222CD6" w:rsidRPr="00470B29">
        <w:rPr>
          <w:rStyle w:val="apple-converted-space"/>
        </w:rPr>
        <w:t xml:space="preserve"> Georgetown’s policies </w:t>
      </w:r>
      <w:r w:rsidR="00F96947" w:rsidRPr="00470B29">
        <w:rPr>
          <w:rStyle w:val="apple-converted-space"/>
        </w:rPr>
        <w:t xml:space="preserve">were consistent with the national standard of care. </w:t>
      </w:r>
      <w:r w:rsidR="00222CD6" w:rsidRPr="00470B29">
        <w:rPr>
          <w:rStyle w:val="apple-converted-space"/>
        </w:rPr>
        <w:t>(</w:t>
      </w:r>
      <w:r w:rsidR="00766A57">
        <w:rPr>
          <w:rStyle w:val="apple-converted-space"/>
        </w:rPr>
        <w:t>Def.</w:t>
      </w:r>
      <w:r w:rsidR="00524E55">
        <w:rPr>
          <w:rStyle w:val="apple-converted-space"/>
        </w:rPr>
        <w:t xml:space="preserve"> Ex. 1, Gardner Tr. at </w:t>
      </w:r>
      <w:r w:rsidR="00222CD6" w:rsidRPr="00470B29">
        <w:rPr>
          <w:rStyle w:val="apple-converted-space"/>
        </w:rPr>
        <w:t xml:space="preserve">34:4-8; </w:t>
      </w:r>
      <w:r w:rsidR="00F96947" w:rsidRPr="00470B29">
        <w:rPr>
          <w:rStyle w:val="apple-converted-space"/>
        </w:rPr>
        <w:t xml:space="preserve">39:16-21). </w:t>
      </w:r>
      <w:r w:rsidR="00D329D1">
        <w:rPr>
          <w:rStyle w:val="apple-converted-space"/>
        </w:rPr>
        <w:t xml:space="preserve">Georgetown attempts to argue that Nurse Gardner’s testimony regarding </w:t>
      </w:r>
      <w:r w:rsidR="00BD22E9">
        <w:rPr>
          <w:rStyle w:val="apple-converted-space"/>
        </w:rPr>
        <w:t>national</w:t>
      </w:r>
      <w:r w:rsidR="0043406E">
        <w:rPr>
          <w:rStyle w:val="apple-converted-space"/>
        </w:rPr>
        <w:t xml:space="preserve"> </w:t>
      </w:r>
      <w:r w:rsidR="00BD22E9">
        <w:rPr>
          <w:rStyle w:val="apple-converted-space"/>
        </w:rPr>
        <w:t xml:space="preserve">and local standards of care confused the jury, but Nurse Gardner clearly linked the national standards to the local, i.e. Georgetown’s, own policies. The jury </w:t>
      </w:r>
      <w:r w:rsidR="00E240CA">
        <w:rPr>
          <w:rStyle w:val="apple-converted-space"/>
        </w:rPr>
        <w:t>would have</w:t>
      </w:r>
      <w:r w:rsidR="00BD22E9">
        <w:rPr>
          <w:rStyle w:val="apple-converted-space"/>
        </w:rPr>
        <w:t xml:space="preserve"> no</w:t>
      </w:r>
      <w:r w:rsidR="00E240CA">
        <w:rPr>
          <w:rStyle w:val="apple-converted-space"/>
        </w:rPr>
        <w:t xml:space="preserve"> reason to be</w:t>
      </w:r>
      <w:r w:rsidR="00BD22E9">
        <w:rPr>
          <w:rStyle w:val="apple-converted-space"/>
        </w:rPr>
        <w:t xml:space="preserve"> </w:t>
      </w:r>
      <w:r w:rsidR="00E240CA">
        <w:rPr>
          <w:rStyle w:val="apple-converted-space"/>
        </w:rPr>
        <w:t>confused about</w:t>
      </w:r>
      <w:r w:rsidR="00BD22E9">
        <w:rPr>
          <w:rStyle w:val="apple-converted-space"/>
        </w:rPr>
        <w:t xml:space="preserve"> </w:t>
      </w:r>
      <w:r w:rsidR="0012060F">
        <w:rPr>
          <w:rStyle w:val="apple-converted-space"/>
        </w:rPr>
        <w:t xml:space="preserve">what </w:t>
      </w:r>
      <w:r w:rsidR="00BD22E9">
        <w:rPr>
          <w:rStyle w:val="apple-converted-space"/>
        </w:rPr>
        <w:t xml:space="preserve">standards of care </w:t>
      </w:r>
      <w:r w:rsidR="00E240CA">
        <w:rPr>
          <w:rStyle w:val="apple-converted-space"/>
        </w:rPr>
        <w:t>applied in this case</w:t>
      </w:r>
      <w:r w:rsidR="0012060F">
        <w:rPr>
          <w:rStyle w:val="apple-converted-space"/>
        </w:rPr>
        <w:t xml:space="preserve"> – they were consistent throughout</w:t>
      </w:r>
      <w:r w:rsidR="00BD22E9">
        <w:rPr>
          <w:rStyle w:val="apple-converted-space"/>
        </w:rPr>
        <w:t xml:space="preserve">. </w:t>
      </w:r>
    </w:p>
    <w:p w:rsidR="0012060F" w:rsidRDefault="00497D93" w:rsidP="001157C4">
      <w:pPr>
        <w:shd w:val="clear" w:color="auto" w:fill="FFFFFF"/>
        <w:spacing w:line="480" w:lineRule="auto"/>
        <w:ind w:firstLine="720"/>
        <w:rPr>
          <w:rStyle w:val="apple-converted-space"/>
        </w:rPr>
      </w:pPr>
      <w:r w:rsidRPr="00470B29">
        <w:rPr>
          <w:rStyle w:val="apple-converted-space"/>
        </w:rPr>
        <w:t xml:space="preserve">The defense cites </w:t>
      </w:r>
      <w:r w:rsidRPr="00470B29">
        <w:rPr>
          <w:rStyle w:val="apple-converted-space"/>
          <w:i/>
        </w:rPr>
        <w:t>Travers</w:t>
      </w:r>
      <w:r w:rsidRPr="00470B29">
        <w:rPr>
          <w:rStyle w:val="apple-converted-space"/>
        </w:rPr>
        <w:t xml:space="preserve"> v. </w:t>
      </w:r>
      <w:r w:rsidRPr="00470B29">
        <w:rPr>
          <w:rStyle w:val="apple-converted-space"/>
          <w:i/>
        </w:rPr>
        <w:t>District of Columbia</w:t>
      </w:r>
      <w:r w:rsidRPr="00470B29">
        <w:rPr>
          <w:rStyle w:val="apple-converted-space"/>
        </w:rPr>
        <w:t>, 672 A.2d 566 (D.C. 1996), for the proposition that a</w:t>
      </w:r>
      <w:r w:rsidR="00F276AB" w:rsidRPr="00470B29">
        <w:rPr>
          <w:rStyle w:val="apple-converted-space"/>
        </w:rPr>
        <w:t xml:space="preserve">n expert cannot testify to the national standard of care based simply on </w:t>
      </w:r>
      <w:r w:rsidR="00F276AB" w:rsidRPr="00470B29">
        <w:rPr>
          <w:rStyle w:val="apple-converted-space"/>
        </w:rPr>
        <w:lastRenderedPageBreak/>
        <w:t>attending national meetings, especially when that particular standard wasn’t discussed at such meetings. (Def. Brief at 3</w:t>
      </w:r>
      <w:r w:rsidR="0012060F">
        <w:rPr>
          <w:rStyle w:val="apple-converted-space"/>
        </w:rPr>
        <w:t>.</w:t>
      </w:r>
      <w:r w:rsidR="00F276AB" w:rsidRPr="00470B29">
        <w:rPr>
          <w:rStyle w:val="apple-converted-space"/>
        </w:rPr>
        <w:t>)</w:t>
      </w:r>
      <w:r w:rsidR="009B73C7">
        <w:rPr>
          <w:rStyle w:val="apple-converted-space"/>
        </w:rPr>
        <w:t xml:space="preserve"> T</w:t>
      </w:r>
      <w:r w:rsidR="00F276AB" w:rsidRPr="00470B29">
        <w:rPr>
          <w:rStyle w:val="apple-converted-space"/>
        </w:rPr>
        <w:t xml:space="preserve">hat is not what occurred in this case. </w:t>
      </w:r>
    </w:p>
    <w:p w:rsidR="000909AA" w:rsidRPr="0012060F" w:rsidRDefault="0012060F" w:rsidP="0012060F">
      <w:pPr>
        <w:shd w:val="clear" w:color="auto" w:fill="FFFFFF"/>
        <w:spacing w:line="480" w:lineRule="auto"/>
        <w:ind w:firstLine="720"/>
      </w:pPr>
      <w:r>
        <w:rPr>
          <w:rStyle w:val="apple-converted-space"/>
        </w:rPr>
        <w:t xml:space="preserve">The Court of Appeals has never ruled that a witness who testifies as thoroughly about the national standard of care as Nurse Gardner did in this case should be excluded. </w:t>
      </w:r>
      <w:r w:rsidR="00812335" w:rsidRPr="00470B29">
        <w:rPr>
          <w:rFonts w:eastAsia="Times New Roman"/>
        </w:rPr>
        <w:t xml:space="preserve">Nurse Gardner’s testimony was not her “personal opinion” about what the standard of care is, as the defense suggests, but was consistent with the national standard of care as articulated by the literature, </w:t>
      </w:r>
      <w:r w:rsidR="009B73C7">
        <w:rPr>
          <w:rFonts w:eastAsia="Times New Roman"/>
        </w:rPr>
        <w:t xml:space="preserve">both her own and others, </w:t>
      </w:r>
      <w:r w:rsidR="00812335" w:rsidRPr="00470B29">
        <w:rPr>
          <w:rFonts w:eastAsia="Times New Roman"/>
        </w:rPr>
        <w:t xml:space="preserve">the defendant’s policies, and the other experts – both plaintiff and defendant – in this case. </w:t>
      </w:r>
    </w:p>
    <w:p w:rsidR="00152019" w:rsidRPr="005A6909" w:rsidRDefault="00152019" w:rsidP="00152019">
      <w:pPr>
        <w:pStyle w:val="ListParagraph"/>
        <w:numPr>
          <w:ilvl w:val="0"/>
          <w:numId w:val="28"/>
        </w:numPr>
        <w:shd w:val="clear" w:color="auto" w:fill="FFFFFF"/>
        <w:spacing w:line="480" w:lineRule="auto"/>
        <w:rPr>
          <w:rFonts w:eastAsia="Times New Roman"/>
          <w:i/>
          <w:color w:val="000000"/>
          <w:u w:val="single"/>
        </w:rPr>
      </w:pPr>
      <w:r w:rsidRPr="005A6909">
        <w:rPr>
          <w:rFonts w:eastAsia="Times New Roman"/>
          <w:i/>
          <w:color w:val="000000"/>
          <w:u w:val="single"/>
        </w:rPr>
        <w:t xml:space="preserve">Dr. Hermansen </w:t>
      </w:r>
      <w:r w:rsidR="009B5B5C" w:rsidRPr="005A6909">
        <w:rPr>
          <w:rFonts w:eastAsia="Times New Roman"/>
          <w:i/>
          <w:color w:val="000000"/>
          <w:u w:val="single"/>
        </w:rPr>
        <w:t>Testified to a National Standard of Care</w:t>
      </w:r>
    </w:p>
    <w:p w:rsidR="00812335" w:rsidRPr="00470B29" w:rsidRDefault="00FA58F2" w:rsidP="00590E59">
      <w:pPr>
        <w:shd w:val="clear" w:color="auto" w:fill="FFFFFF"/>
        <w:spacing w:line="480" w:lineRule="auto"/>
        <w:ind w:firstLine="720"/>
        <w:rPr>
          <w:rFonts w:eastAsia="Times New Roman"/>
          <w:color w:val="000000"/>
        </w:rPr>
      </w:pPr>
      <w:r w:rsidRPr="00470B29">
        <w:rPr>
          <w:rFonts w:eastAsia="Times New Roman"/>
          <w:color w:val="000000"/>
        </w:rPr>
        <w:t xml:space="preserve">Like Nurse Gardner, </w:t>
      </w:r>
      <w:r w:rsidR="00AE080C">
        <w:rPr>
          <w:rFonts w:eastAsia="Times New Roman"/>
          <w:color w:val="000000"/>
        </w:rPr>
        <w:t xml:space="preserve">plaintiffs’ expert </w:t>
      </w:r>
      <w:r w:rsidRPr="00470B29">
        <w:rPr>
          <w:rFonts w:eastAsia="Times New Roman"/>
          <w:color w:val="000000"/>
        </w:rPr>
        <w:t xml:space="preserve">Dr. </w:t>
      </w:r>
      <w:r w:rsidR="0012624F">
        <w:rPr>
          <w:rFonts w:eastAsia="Times New Roman"/>
          <w:color w:val="000000"/>
        </w:rPr>
        <w:t xml:space="preserve">Marcus </w:t>
      </w:r>
      <w:r w:rsidRPr="00470B29">
        <w:rPr>
          <w:rFonts w:eastAsia="Times New Roman"/>
          <w:color w:val="000000"/>
        </w:rPr>
        <w:t xml:space="preserve">Hermansen </w:t>
      </w:r>
      <w:r w:rsidR="00793153" w:rsidRPr="00470B29">
        <w:rPr>
          <w:rFonts w:eastAsia="Times New Roman"/>
          <w:color w:val="000000"/>
        </w:rPr>
        <w:t>testified</w:t>
      </w:r>
      <w:r w:rsidRPr="00470B29">
        <w:rPr>
          <w:rFonts w:eastAsia="Times New Roman"/>
          <w:color w:val="000000"/>
        </w:rPr>
        <w:t xml:space="preserve"> about his </w:t>
      </w:r>
      <w:r w:rsidR="00590E59" w:rsidRPr="00470B29">
        <w:rPr>
          <w:rFonts w:eastAsia="Times New Roman"/>
          <w:color w:val="000000"/>
        </w:rPr>
        <w:t xml:space="preserve">experience with the standard of care for nurses monitoring a PIV site, which included </w:t>
      </w:r>
      <w:r w:rsidR="00B62FFF">
        <w:rPr>
          <w:rFonts w:eastAsia="Times New Roman"/>
          <w:color w:val="000000"/>
        </w:rPr>
        <w:t xml:space="preserve">working in hospitals in different states practicing medicine in NICUs for 35 </w:t>
      </w:r>
      <w:r w:rsidR="00B62FFF" w:rsidRPr="00800A57">
        <w:rPr>
          <w:rFonts w:eastAsia="Times New Roman"/>
          <w:noProof/>
          <w:color w:val="000000"/>
        </w:rPr>
        <w:t>year</w:t>
      </w:r>
      <w:r w:rsidR="00800A57">
        <w:rPr>
          <w:rFonts w:eastAsia="Times New Roman"/>
          <w:noProof/>
          <w:color w:val="000000"/>
        </w:rPr>
        <w:t>s</w:t>
      </w:r>
      <w:r w:rsidR="00F224E9">
        <w:rPr>
          <w:rFonts w:eastAsia="Times New Roman"/>
          <w:color w:val="000000"/>
        </w:rPr>
        <w:t xml:space="preserve"> as a board-certified neonatologist and pediatrician</w:t>
      </w:r>
      <w:r w:rsidR="00B62FFF">
        <w:rPr>
          <w:rFonts w:eastAsia="Times New Roman"/>
          <w:color w:val="000000"/>
        </w:rPr>
        <w:t xml:space="preserve">. </w:t>
      </w:r>
      <w:r w:rsidR="00F224E9">
        <w:rPr>
          <w:rFonts w:eastAsia="Times New Roman"/>
          <w:color w:val="000000"/>
        </w:rPr>
        <w:t>(</w:t>
      </w:r>
      <w:r w:rsidR="00766A57">
        <w:rPr>
          <w:rFonts w:eastAsia="Times New Roman"/>
          <w:color w:val="000000"/>
        </w:rPr>
        <w:t>Def.</w:t>
      </w:r>
      <w:r w:rsidR="00F224E9">
        <w:rPr>
          <w:rFonts w:eastAsia="Times New Roman"/>
          <w:color w:val="000000"/>
        </w:rPr>
        <w:t xml:space="preserve"> Ex</w:t>
      </w:r>
      <w:r w:rsidR="00AE080C">
        <w:rPr>
          <w:rFonts w:eastAsia="Times New Roman"/>
          <w:color w:val="000000"/>
        </w:rPr>
        <w:t>.</w:t>
      </w:r>
      <w:r w:rsidR="00F224E9">
        <w:rPr>
          <w:rFonts w:eastAsia="Times New Roman"/>
          <w:color w:val="000000"/>
        </w:rPr>
        <w:t xml:space="preserve"> 2, Hermansen Tr. at 54-55</w:t>
      </w:r>
      <w:r w:rsidR="00AE080C">
        <w:rPr>
          <w:rFonts w:eastAsia="Times New Roman"/>
          <w:color w:val="000000"/>
        </w:rPr>
        <w:t>.</w:t>
      </w:r>
      <w:r w:rsidR="00F224E9">
        <w:rPr>
          <w:rFonts w:eastAsia="Times New Roman"/>
          <w:color w:val="000000"/>
        </w:rPr>
        <w:t>)</w:t>
      </w:r>
    </w:p>
    <w:p w:rsidR="006A52FD" w:rsidRPr="006A52FD" w:rsidRDefault="00590E59" w:rsidP="006A52FD">
      <w:pPr>
        <w:autoSpaceDE w:val="0"/>
        <w:autoSpaceDN w:val="0"/>
        <w:adjustRightInd w:val="0"/>
        <w:spacing w:line="480" w:lineRule="auto"/>
        <w:ind w:firstLine="720"/>
        <w:rPr>
          <w:rFonts w:eastAsia="Times New Roman"/>
          <w:color w:val="000000"/>
        </w:rPr>
      </w:pPr>
      <w:r w:rsidRPr="00470B29">
        <w:rPr>
          <w:rFonts w:eastAsia="Times New Roman"/>
          <w:color w:val="000000"/>
        </w:rPr>
        <w:t xml:space="preserve">Dr. Hermansen also pointed to the literature to demonstrate the standard of </w:t>
      </w:r>
      <w:r w:rsidR="00217202" w:rsidRPr="00470B29">
        <w:rPr>
          <w:rFonts w:eastAsia="Times New Roman"/>
          <w:color w:val="000000"/>
        </w:rPr>
        <w:t>care, citing his own chapter</w:t>
      </w:r>
      <w:r w:rsidR="005B5D05" w:rsidRPr="00470B29">
        <w:rPr>
          <w:rFonts w:eastAsia="Times New Roman"/>
          <w:color w:val="000000"/>
        </w:rPr>
        <w:t xml:space="preserve">, called </w:t>
      </w:r>
      <w:r w:rsidR="005B5D05" w:rsidRPr="00470B29">
        <w:t>Complications of IV Therapy, published in a</w:t>
      </w:r>
      <w:r w:rsidR="00217202" w:rsidRPr="00470B29">
        <w:rPr>
          <w:rFonts w:eastAsia="Times New Roman"/>
          <w:color w:val="000000"/>
        </w:rPr>
        <w:t xml:space="preserve"> book called Clinics in Perinatology, which is “</w:t>
      </w:r>
      <w:r w:rsidR="00217202" w:rsidRPr="00470B29">
        <w:t xml:space="preserve">a series </w:t>
      </w:r>
      <w:r w:rsidR="00257222" w:rsidRPr="00470B29">
        <w:t xml:space="preserve">of books that come out three or </w:t>
      </w:r>
      <w:r w:rsidR="00217202" w:rsidRPr="00470B29">
        <w:t>four times a year for continuing education for doctors in my field.” (</w:t>
      </w:r>
      <w:r w:rsidR="002317E0">
        <w:rPr>
          <w:i/>
        </w:rPr>
        <w:t>Id.</w:t>
      </w:r>
      <w:r w:rsidR="002317E0">
        <w:t xml:space="preserve"> at 56.)</w:t>
      </w:r>
      <w:r w:rsidR="00217202" w:rsidRPr="00470B29">
        <w:t xml:space="preserve"> </w:t>
      </w:r>
      <w:r w:rsidRPr="00470B29">
        <w:rPr>
          <w:rFonts w:eastAsia="Times New Roman"/>
          <w:color w:val="000000"/>
        </w:rPr>
        <w:t xml:space="preserve">Summarizing </w:t>
      </w:r>
      <w:r w:rsidR="002317E0">
        <w:rPr>
          <w:rFonts w:eastAsia="Times New Roman"/>
          <w:color w:val="000000"/>
        </w:rPr>
        <w:t xml:space="preserve">the standard of care as </w:t>
      </w:r>
      <w:r w:rsidR="00C97206">
        <w:rPr>
          <w:rFonts w:eastAsia="Times New Roman"/>
          <w:color w:val="000000"/>
        </w:rPr>
        <w:t>articulated</w:t>
      </w:r>
      <w:r w:rsidR="002317E0">
        <w:rPr>
          <w:rFonts w:eastAsia="Times New Roman"/>
          <w:color w:val="000000"/>
        </w:rPr>
        <w:t xml:space="preserve"> in his </w:t>
      </w:r>
      <w:r w:rsidRPr="00470B29">
        <w:rPr>
          <w:rFonts w:eastAsia="Times New Roman"/>
          <w:color w:val="000000"/>
        </w:rPr>
        <w:t>ar</w:t>
      </w:r>
      <w:r w:rsidR="006A52FD">
        <w:rPr>
          <w:rFonts w:eastAsia="Times New Roman"/>
          <w:color w:val="000000"/>
        </w:rPr>
        <w:t>ticle, Dr. Hermansen testified:</w:t>
      </w:r>
    </w:p>
    <w:p w:rsidR="00257222" w:rsidRDefault="00226EDD" w:rsidP="002317E0">
      <w:pPr>
        <w:autoSpaceDE w:val="0"/>
        <w:autoSpaceDN w:val="0"/>
        <w:adjustRightInd w:val="0"/>
        <w:ind w:left="720" w:right="920"/>
        <w:jc w:val="both"/>
      </w:pPr>
      <w:r>
        <w:t>We’</w:t>
      </w:r>
      <w:r w:rsidR="00EA740D">
        <w:t>ve learned over 50 years it’</w:t>
      </w:r>
      <w:r w:rsidR="00590E59" w:rsidRPr="00470B29">
        <w:t xml:space="preserve">s safe to check these IVs hourly. If we are checking them hourly and the most we have is </w:t>
      </w:r>
      <w:r w:rsidR="00590E59" w:rsidRPr="00787C57">
        <w:rPr>
          <w:noProof/>
        </w:rPr>
        <w:t>one hour</w:t>
      </w:r>
      <w:r>
        <w:rPr>
          <w:noProof/>
        </w:rPr>
        <w:t xml:space="preserve"> [of]</w:t>
      </w:r>
      <w:r w:rsidR="00590E59" w:rsidRPr="00470B29">
        <w:t xml:space="preserve"> fluid, that's the </w:t>
      </w:r>
      <w:r>
        <w:t>absolute most it could be, that’</w:t>
      </w:r>
      <w:r w:rsidR="00590E59" w:rsidRPr="00470B29">
        <w:t>s sa</w:t>
      </w:r>
      <w:r w:rsidR="002317E0">
        <w:t>fe. We don't see tissue damage.</w:t>
      </w:r>
    </w:p>
    <w:p w:rsidR="002317E0" w:rsidRDefault="002317E0" w:rsidP="002317E0">
      <w:pPr>
        <w:autoSpaceDE w:val="0"/>
        <w:autoSpaceDN w:val="0"/>
        <w:adjustRightInd w:val="0"/>
        <w:ind w:right="920"/>
        <w:jc w:val="both"/>
      </w:pPr>
    </w:p>
    <w:p w:rsidR="002317E0" w:rsidRPr="002317E0" w:rsidRDefault="002317E0" w:rsidP="002317E0">
      <w:pPr>
        <w:autoSpaceDE w:val="0"/>
        <w:autoSpaceDN w:val="0"/>
        <w:adjustRightInd w:val="0"/>
        <w:ind w:right="920"/>
        <w:jc w:val="both"/>
      </w:pPr>
      <w:r>
        <w:t>(</w:t>
      </w:r>
      <w:r>
        <w:rPr>
          <w:i/>
        </w:rPr>
        <w:t xml:space="preserve">Id. </w:t>
      </w:r>
      <w:r>
        <w:t>at 64-65.)</w:t>
      </w:r>
    </w:p>
    <w:p w:rsidR="002317E0" w:rsidRPr="002317E0" w:rsidRDefault="002317E0" w:rsidP="002317E0">
      <w:pPr>
        <w:autoSpaceDE w:val="0"/>
        <w:autoSpaceDN w:val="0"/>
        <w:adjustRightInd w:val="0"/>
        <w:ind w:left="720" w:right="920"/>
        <w:jc w:val="both"/>
      </w:pPr>
    </w:p>
    <w:p w:rsidR="00EF2FE2" w:rsidRPr="00470B29" w:rsidRDefault="00257222" w:rsidP="00EF2FE2">
      <w:pPr>
        <w:shd w:val="clear" w:color="auto" w:fill="FFFFFF"/>
        <w:spacing w:line="480" w:lineRule="auto"/>
        <w:ind w:right="920" w:firstLine="720"/>
        <w:jc w:val="both"/>
        <w:rPr>
          <w:rFonts w:eastAsia="Times New Roman"/>
          <w:color w:val="000000"/>
        </w:rPr>
      </w:pPr>
      <w:r w:rsidRPr="00470B29">
        <w:rPr>
          <w:rFonts w:eastAsia="Times New Roman"/>
          <w:color w:val="000000"/>
        </w:rPr>
        <w:t xml:space="preserve">The actual text of Dr. </w:t>
      </w:r>
      <w:r w:rsidR="00CB7D11">
        <w:rPr>
          <w:rFonts w:eastAsia="Times New Roman"/>
          <w:color w:val="000000"/>
        </w:rPr>
        <w:t>Hermansen’</w:t>
      </w:r>
      <w:r w:rsidR="00CB7D11" w:rsidRPr="00470B29">
        <w:rPr>
          <w:rFonts w:eastAsia="Times New Roman"/>
          <w:color w:val="000000"/>
        </w:rPr>
        <w:t>s</w:t>
      </w:r>
      <w:r w:rsidRPr="00470B29">
        <w:rPr>
          <w:rFonts w:eastAsia="Times New Roman"/>
          <w:color w:val="000000"/>
        </w:rPr>
        <w:t xml:space="preserve"> article </w:t>
      </w:r>
      <w:r w:rsidR="00984F60">
        <w:rPr>
          <w:rFonts w:eastAsia="Times New Roman"/>
          <w:color w:val="000000"/>
        </w:rPr>
        <w:t>was published to the jury</w:t>
      </w:r>
      <w:r w:rsidR="000B2B54" w:rsidRPr="00470B29">
        <w:rPr>
          <w:rFonts w:eastAsia="Times New Roman"/>
          <w:color w:val="000000"/>
        </w:rPr>
        <w:t xml:space="preserve"> during the testimony of defense expert Derenda Hodge, who agreed that his article was authoritative </w:t>
      </w:r>
      <w:r w:rsidR="000B2B54" w:rsidRPr="00470B29">
        <w:rPr>
          <w:rFonts w:eastAsia="Times New Roman"/>
          <w:color w:val="000000"/>
        </w:rPr>
        <w:lastRenderedPageBreak/>
        <w:t>in the field. (</w:t>
      </w:r>
      <w:r w:rsidR="00CB2CA1">
        <w:rPr>
          <w:rFonts w:eastAsia="Times New Roman"/>
          <w:color w:val="000000"/>
        </w:rPr>
        <w:t xml:space="preserve">Ex. 3, Hodge Tr., Vol. 2 at </w:t>
      </w:r>
      <w:r w:rsidR="000B2B54" w:rsidRPr="00470B29">
        <w:rPr>
          <w:rFonts w:eastAsia="Times New Roman"/>
          <w:color w:val="000000"/>
        </w:rPr>
        <w:t>96-97</w:t>
      </w:r>
      <w:r w:rsidR="00CB2CA1">
        <w:rPr>
          <w:rFonts w:eastAsia="Times New Roman"/>
          <w:color w:val="000000"/>
        </w:rPr>
        <w:t>.</w:t>
      </w:r>
      <w:r w:rsidR="000B2B54" w:rsidRPr="00470B29">
        <w:rPr>
          <w:rFonts w:eastAsia="Times New Roman"/>
          <w:color w:val="000000"/>
        </w:rPr>
        <w:t xml:space="preserve">) Nurse Hodge, who worked her entire career as a NICU nurse in Tennessee, agreed </w:t>
      </w:r>
      <w:r w:rsidR="00EF2FE2" w:rsidRPr="00470B29">
        <w:rPr>
          <w:rFonts w:eastAsia="Times New Roman"/>
          <w:color w:val="000000"/>
        </w:rPr>
        <w:t>with this standard s</w:t>
      </w:r>
      <w:r w:rsidR="00B829C1">
        <w:rPr>
          <w:rFonts w:eastAsia="Times New Roman"/>
          <w:color w:val="000000"/>
        </w:rPr>
        <w:t>et out</w:t>
      </w:r>
      <w:r w:rsidR="00EF2FE2" w:rsidRPr="00470B29">
        <w:rPr>
          <w:rFonts w:eastAsia="Times New Roman"/>
          <w:color w:val="000000"/>
        </w:rPr>
        <w:t xml:space="preserve"> in Dr. Hermansen’s article: </w:t>
      </w:r>
    </w:p>
    <w:p w:rsidR="00EF2FE2" w:rsidRDefault="00EF2FE2" w:rsidP="00EF2FE2">
      <w:pPr>
        <w:autoSpaceDE w:val="0"/>
        <w:autoSpaceDN w:val="0"/>
        <w:adjustRightInd w:val="0"/>
        <w:ind w:left="720" w:right="920"/>
        <w:jc w:val="both"/>
      </w:pPr>
      <w:r w:rsidRPr="00470B29">
        <w:t xml:space="preserve">The best method of avoiding permanent extravasation injury resides with not with treating the injury, but in preventing it. Infiltration injury can </w:t>
      </w:r>
      <w:r w:rsidRPr="00787C57">
        <w:rPr>
          <w:noProof/>
        </w:rPr>
        <w:t>be reduce</w:t>
      </w:r>
      <w:r w:rsidRPr="00470B29">
        <w:t xml:space="preserve"> by providing good visibility of catheter insertion site, performing frequent hourly or more inspections of the site and immediately removing any catheter if there is a concern of a possible infiltration or phlebitis.</w:t>
      </w:r>
    </w:p>
    <w:p w:rsidR="00CB7D11" w:rsidRDefault="00CB7D11" w:rsidP="00CB7D11">
      <w:pPr>
        <w:autoSpaceDE w:val="0"/>
        <w:autoSpaceDN w:val="0"/>
        <w:adjustRightInd w:val="0"/>
        <w:ind w:right="920"/>
        <w:jc w:val="both"/>
      </w:pPr>
    </w:p>
    <w:p w:rsidR="00CB7D11" w:rsidRPr="00470B29" w:rsidRDefault="00CB7D11" w:rsidP="00CB7D11">
      <w:pPr>
        <w:autoSpaceDE w:val="0"/>
        <w:autoSpaceDN w:val="0"/>
        <w:adjustRightInd w:val="0"/>
        <w:ind w:right="920"/>
        <w:jc w:val="both"/>
      </w:pPr>
      <w:r>
        <w:t>(</w:t>
      </w:r>
      <w:r w:rsidR="00BD28BD">
        <w:rPr>
          <w:i/>
        </w:rPr>
        <w:t xml:space="preserve">Id. </w:t>
      </w:r>
      <w:r w:rsidR="00BD28BD">
        <w:t>a</w:t>
      </w:r>
      <w:r>
        <w:t>t</w:t>
      </w:r>
      <w:r w:rsidR="002860CA">
        <w:t xml:space="preserve"> 98:20-99:5.)</w:t>
      </w:r>
      <w:r>
        <w:t xml:space="preserve"> </w:t>
      </w:r>
    </w:p>
    <w:p w:rsidR="00EF2FE2" w:rsidRPr="00470B29" w:rsidRDefault="00EF2FE2" w:rsidP="00EF2FE2">
      <w:pPr>
        <w:autoSpaceDE w:val="0"/>
        <w:autoSpaceDN w:val="0"/>
        <w:adjustRightInd w:val="0"/>
        <w:rPr>
          <w:rFonts w:ascii="Courier" w:hAnsi="Courier" w:cs="Courier"/>
        </w:rPr>
      </w:pPr>
    </w:p>
    <w:p w:rsidR="00FB2BA8" w:rsidRPr="00470B29" w:rsidRDefault="00FB2BA8" w:rsidP="00EF2FE2">
      <w:pPr>
        <w:shd w:val="clear" w:color="auto" w:fill="FFFFFF"/>
        <w:spacing w:line="480" w:lineRule="auto"/>
        <w:ind w:firstLine="720"/>
        <w:rPr>
          <w:rFonts w:eastAsia="Times New Roman"/>
          <w:color w:val="000000"/>
        </w:rPr>
      </w:pPr>
      <w:r w:rsidRPr="00470B29">
        <w:rPr>
          <w:rFonts w:eastAsia="Times New Roman"/>
          <w:color w:val="000000"/>
        </w:rPr>
        <w:t>Dr. Hermansen also testified that Georgetown’s policies were consistent with the national standard of care. (</w:t>
      </w:r>
      <w:r w:rsidR="00766A57">
        <w:rPr>
          <w:rFonts w:eastAsia="Times New Roman"/>
          <w:color w:val="000000"/>
        </w:rPr>
        <w:t>Def.</w:t>
      </w:r>
      <w:r w:rsidR="00800CE0">
        <w:rPr>
          <w:rFonts w:eastAsia="Times New Roman"/>
          <w:color w:val="000000"/>
        </w:rPr>
        <w:t xml:space="preserve"> Ex. </w:t>
      </w:r>
      <w:r w:rsidR="00766A57">
        <w:rPr>
          <w:rFonts w:eastAsia="Times New Roman"/>
          <w:color w:val="000000"/>
        </w:rPr>
        <w:t>2</w:t>
      </w:r>
      <w:r w:rsidR="00800CE0">
        <w:rPr>
          <w:rFonts w:eastAsia="Times New Roman"/>
          <w:color w:val="000000"/>
        </w:rPr>
        <w:t>, Hermansen Tr. at 57:12-58:7.)</w:t>
      </w:r>
      <w:r w:rsidR="006F67C9" w:rsidRPr="00470B29">
        <w:rPr>
          <w:rFonts w:eastAsia="Times New Roman"/>
          <w:color w:val="000000"/>
        </w:rPr>
        <w:t xml:space="preserve"> </w:t>
      </w:r>
      <w:r w:rsidR="00EF2FE2" w:rsidRPr="00470B29">
        <w:rPr>
          <w:rFonts w:eastAsia="Times New Roman"/>
          <w:color w:val="000000"/>
        </w:rPr>
        <w:t>So</w:t>
      </w:r>
      <w:r w:rsidR="00C04570">
        <w:rPr>
          <w:rFonts w:eastAsia="Times New Roman"/>
          <w:color w:val="000000"/>
        </w:rPr>
        <w:t>,</w:t>
      </w:r>
      <w:r w:rsidR="00EF2FE2" w:rsidRPr="00470B29">
        <w:rPr>
          <w:rFonts w:eastAsia="Times New Roman"/>
          <w:color w:val="000000"/>
        </w:rPr>
        <w:t xml:space="preserve"> Dr. Hermansen, like Nurse Gardner, conclusively testified to the national standards of care – checking a PIV site hourly, removing the IV </w:t>
      </w:r>
      <w:r w:rsidR="00305E28" w:rsidRPr="00470B29">
        <w:rPr>
          <w:rFonts w:eastAsia="Times New Roman"/>
          <w:color w:val="000000"/>
        </w:rPr>
        <w:t xml:space="preserve">at the first sign or concern of infiltration – based on his training and experience and the national literature, </w:t>
      </w:r>
      <w:r w:rsidR="00800CE0">
        <w:rPr>
          <w:rFonts w:eastAsia="Times New Roman"/>
          <w:color w:val="000000"/>
        </w:rPr>
        <w:t xml:space="preserve">which is also </w:t>
      </w:r>
      <w:r w:rsidR="00305E28" w:rsidRPr="00470B29">
        <w:rPr>
          <w:rFonts w:eastAsia="Times New Roman"/>
          <w:color w:val="000000"/>
        </w:rPr>
        <w:t xml:space="preserve">reflected in Georgetown’s own policies. </w:t>
      </w:r>
    </w:p>
    <w:p w:rsidR="009B5B5C" w:rsidRPr="005A6909" w:rsidRDefault="009B5B5C" w:rsidP="009B5B5C">
      <w:pPr>
        <w:pStyle w:val="ListParagraph"/>
        <w:numPr>
          <w:ilvl w:val="0"/>
          <w:numId w:val="28"/>
        </w:numPr>
        <w:shd w:val="clear" w:color="auto" w:fill="FFFFFF"/>
        <w:rPr>
          <w:rFonts w:eastAsia="Times New Roman"/>
          <w:i/>
          <w:color w:val="000000"/>
          <w:u w:val="single"/>
        </w:rPr>
      </w:pPr>
      <w:r w:rsidRPr="005A6909">
        <w:rPr>
          <w:rFonts w:eastAsia="Times New Roman"/>
          <w:i/>
          <w:color w:val="000000"/>
          <w:u w:val="single"/>
        </w:rPr>
        <w:t>Defendant’s Expert Nurse Derenda Hodge Testified to the Same Standard</w:t>
      </w:r>
      <w:r w:rsidR="00332653">
        <w:rPr>
          <w:rFonts w:eastAsia="Times New Roman"/>
          <w:i/>
          <w:color w:val="000000"/>
          <w:u w:val="single"/>
        </w:rPr>
        <w:t>s</w:t>
      </w:r>
      <w:r w:rsidRPr="005A6909">
        <w:rPr>
          <w:rFonts w:eastAsia="Times New Roman"/>
          <w:i/>
          <w:color w:val="000000"/>
          <w:u w:val="single"/>
        </w:rPr>
        <w:t xml:space="preserve"> of Care as Plaintiffs’ Experts</w:t>
      </w:r>
    </w:p>
    <w:p w:rsidR="009B5B5C" w:rsidRPr="00470B29" w:rsidRDefault="009B5B5C" w:rsidP="009B5B5C">
      <w:pPr>
        <w:shd w:val="clear" w:color="auto" w:fill="FFFFFF"/>
        <w:rPr>
          <w:rFonts w:eastAsia="Times New Roman"/>
          <w:b/>
          <w:i/>
          <w:color w:val="000000"/>
        </w:rPr>
      </w:pPr>
    </w:p>
    <w:p w:rsidR="009B5B5C" w:rsidRPr="00470B29" w:rsidRDefault="00531791" w:rsidP="009B5B5C">
      <w:pPr>
        <w:shd w:val="clear" w:color="auto" w:fill="FFFFFF"/>
        <w:spacing w:line="480" w:lineRule="auto"/>
        <w:ind w:firstLine="720"/>
        <w:rPr>
          <w:rFonts w:eastAsia="Times New Roman"/>
          <w:color w:val="000000"/>
        </w:rPr>
      </w:pPr>
      <w:r>
        <w:rPr>
          <w:rFonts w:eastAsia="Times New Roman"/>
          <w:color w:val="000000"/>
        </w:rPr>
        <w:t>Georgetown</w:t>
      </w:r>
      <w:r w:rsidR="009B5B5C" w:rsidRPr="00470B29">
        <w:rPr>
          <w:rFonts w:eastAsia="Times New Roman"/>
          <w:color w:val="000000"/>
        </w:rPr>
        <w:t xml:space="preserve"> ignores the testimony of its own expert in making its arguments, and apparently also ignored that her testimony factored into the Court’s denial of the defendant’s motion for judgment, made at the close of all evidence. </w:t>
      </w:r>
      <w:r w:rsidR="009F7D9B" w:rsidRPr="00470B29">
        <w:rPr>
          <w:rFonts w:eastAsia="Times New Roman"/>
          <w:color w:val="000000"/>
        </w:rPr>
        <w:t>(</w:t>
      </w:r>
      <w:r w:rsidR="009F7D9B">
        <w:rPr>
          <w:rFonts w:eastAsia="Times New Roman"/>
          <w:color w:val="000000"/>
        </w:rPr>
        <w:t>Def. Ex. 3, Tr. at 58:8-13.)</w:t>
      </w:r>
    </w:p>
    <w:p w:rsidR="000640E7" w:rsidRPr="000640E7" w:rsidRDefault="009B5B5C" w:rsidP="000640E7">
      <w:pPr>
        <w:autoSpaceDE w:val="0"/>
        <w:autoSpaceDN w:val="0"/>
        <w:adjustRightInd w:val="0"/>
        <w:spacing w:line="480" w:lineRule="auto"/>
        <w:ind w:firstLine="720"/>
      </w:pPr>
      <w:r w:rsidRPr="00470B29">
        <w:rPr>
          <w:rFonts w:eastAsia="Times New Roman"/>
          <w:color w:val="000000"/>
        </w:rPr>
        <w:t>Nurse Hodge testified, “</w:t>
      </w:r>
      <w:r w:rsidRPr="00470B29">
        <w:t>It is the national standard that we would hourly wat</w:t>
      </w:r>
      <w:r w:rsidR="00531791">
        <w:t>ch IVs and monitor them.” (Ex. 2, Hodge Tr. Vol. 1 at 27:22-23.)</w:t>
      </w:r>
      <w:r w:rsidR="000640E7">
        <w:t xml:space="preserve"> Nurse Hodge also testified that the customs and habits of Nurse Kim in response to seeing puffiness at a PIV site – aspirating and flushing, touching the PIV site to asses temperature and blanching, and making more frequent checks of the site – would also have been standard of care. (</w:t>
      </w:r>
      <w:r w:rsidR="002015C5">
        <w:t>Ex. 3, Hodge Tr. Vol. 2 at</w:t>
      </w:r>
      <w:r w:rsidR="002D4DC4">
        <w:t xml:space="preserve"> </w:t>
      </w:r>
      <w:r w:rsidR="00946EA6">
        <w:t>6; 27.)</w:t>
      </w:r>
    </w:p>
    <w:p w:rsidR="00A838E1" w:rsidRPr="00470B29" w:rsidRDefault="00A838E1" w:rsidP="00A26836">
      <w:pPr>
        <w:autoSpaceDE w:val="0"/>
        <w:autoSpaceDN w:val="0"/>
        <w:adjustRightInd w:val="0"/>
        <w:spacing w:line="480" w:lineRule="auto"/>
        <w:ind w:firstLine="720"/>
      </w:pPr>
      <w:r w:rsidRPr="00470B29">
        <w:t xml:space="preserve">In terms of when a PIV should be removed, Nurse Hodge </w:t>
      </w:r>
      <w:r w:rsidR="00117E1E" w:rsidRPr="00470B29">
        <w:t xml:space="preserve">did not disagree with the standard stated by Nurse Gardner – “when in doubt, pull it out” – but said that this determination </w:t>
      </w:r>
      <w:r w:rsidR="00117E1E" w:rsidRPr="00470B29">
        <w:lastRenderedPageBreak/>
        <w:t>“involved nursing judgment.” (</w:t>
      </w:r>
      <w:r w:rsidR="004E37FB">
        <w:rPr>
          <w:i/>
        </w:rPr>
        <w:t>Id.</w:t>
      </w:r>
      <w:r w:rsidR="004E37FB">
        <w:t xml:space="preserve"> </w:t>
      </w:r>
      <w:r w:rsidR="00A26836">
        <w:t xml:space="preserve">at </w:t>
      </w:r>
      <w:r w:rsidR="00117E1E" w:rsidRPr="00470B29">
        <w:t>23:12-17</w:t>
      </w:r>
      <w:r w:rsidR="00592E0C">
        <w:t>.</w:t>
      </w:r>
      <w:r w:rsidR="00117E1E" w:rsidRPr="00470B29">
        <w:t>) Nurse Hodge later explained</w:t>
      </w:r>
      <w:r w:rsidRPr="00470B29">
        <w:t>, “You just try to maintain a line as long as you can until it declares itself.</w:t>
      </w:r>
      <w:r w:rsidR="00117E1E" w:rsidRPr="00470B29">
        <w:t xml:space="preserve"> </w:t>
      </w:r>
      <w:r w:rsidRPr="00470B29">
        <w:t>Q</w:t>
      </w:r>
      <w:r w:rsidR="00787C57">
        <w:t>:</w:t>
      </w:r>
      <w:r w:rsidRPr="00470B29">
        <w:t xml:space="preserve"> All right. Just ve</w:t>
      </w:r>
      <w:r w:rsidR="00A26836">
        <w:t xml:space="preserve">ry briefly, what do you mean by </w:t>
      </w:r>
      <w:r w:rsidRPr="00470B29">
        <w:t>declares itself?</w:t>
      </w:r>
      <w:r w:rsidR="00117E1E" w:rsidRPr="00470B29">
        <w:t xml:space="preserve"> </w:t>
      </w:r>
      <w:r w:rsidRPr="00787C57">
        <w:rPr>
          <w:noProof/>
        </w:rPr>
        <w:t>A</w:t>
      </w:r>
      <w:r w:rsidR="00787C57" w:rsidRPr="00787C57">
        <w:rPr>
          <w:noProof/>
        </w:rPr>
        <w:t>:</w:t>
      </w:r>
      <w:r w:rsidRPr="00787C57">
        <w:rPr>
          <w:noProof/>
        </w:rPr>
        <w:t xml:space="preserve"> That</w:t>
      </w:r>
      <w:r w:rsidRPr="00470B29">
        <w:t xml:space="preserve"> you would see symptoms that as you are</w:t>
      </w:r>
      <w:r w:rsidR="00117E1E" w:rsidRPr="00470B29">
        <w:t xml:space="preserve"> </w:t>
      </w:r>
      <w:r w:rsidRPr="00470B29">
        <w:t>judging what is going on that would indicate that it is</w:t>
      </w:r>
      <w:r w:rsidR="00117E1E" w:rsidRPr="00470B29">
        <w:t xml:space="preserve"> </w:t>
      </w:r>
      <w:r w:rsidRPr="00470B29">
        <w:t>infiltrated.</w:t>
      </w:r>
      <w:r w:rsidR="00687E0E" w:rsidRPr="00470B29">
        <w:t xml:space="preserve">” </w:t>
      </w:r>
      <w:r w:rsidR="00670151" w:rsidRPr="00470B29">
        <w:t>(</w:t>
      </w:r>
      <w:r w:rsidR="00112DC5">
        <w:rPr>
          <w:i/>
        </w:rPr>
        <w:t xml:space="preserve">Id. </w:t>
      </w:r>
      <w:r w:rsidR="00112DC5">
        <w:t>at 24</w:t>
      </w:r>
      <w:r w:rsidR="00571188">
        <w:t>:10-16</w:t>
      </w:r>
      <w:r w:rsidR="00112DC5">
        <w:t>.)</w:t>
      </w:r>
      <w:r w:rsidR="00670151" w:rsidRPr="00470B29">
        <w:t xml:space="preserve"> </w:t>
      </w:r>
    </w:p>
    <w:p w:rsidR="00670151" w:rsidRPr="00470B29" w:rsidRDefault="00670151" w:rsidP="00687E0E">
      <w:pPr>
        <w:autoSpaceDE w:val="0"/>
        <w:autoSpaceDN w:val="0"/>
        <w:adjustRightInd w:val="0"/>
        <w:spacing w:line="480" w:lineRule="auto"/>
      </w:pPr>
      <w:r w:rsidRPr="00470B29">
        <w:tab/>
        <w:t xml:space="preserve">In other words, Nurse Hodge agreed that a PIV should be removed </w:t>
      </w:r>
      <w:r w:rsidR="00571188">
        <w:t>when the</w:t>
      </w:r>
      <w:r w:rsidRPr="00470B29">
        <w:t xml:space="preserve"> symptoms of infiltration</w:t>
      </w:r>
      <w:r w:rsidR="00571188">
        <w:t xml:space="preserve"> are present</w:t>
      </w:r>
      <w:r w:rsidRPr="00470B29">
        <w:t xml:space="preserve">, though she couched </w:t>
      </w:r>
      <w:r w:rsidR="00571188">
        <w:t xml:space="preserve">her opinion by saying that a </w:t>
      </w:r>
      <w:r w:rsidRPr="00470B29">
        <w:t>nurse would have to “judge” an infiltration to be occurring</w:t>
      </w:r>
      <w:r w:rsidR="00571188">
        <w:t xml:space="preserve"> in order for the standard to require that it be removed. </w:t>
      </w:r>
    </w:p>
    <w:p w:rsidR="00670151" w:rsidRDefault="00670151" w:rsidP="00687E0E">
      <w:pPr>
        <w:autoSpaceDE w:val="0"/>
        <w:autoSpaceDN w:val="0"/>
        <w:adjustRightInd w:val="0"/>
        <w:spacing w:line="480" w:lineRule="auto"/>
      </w:pPr>
      <w:r w:rsidRPr="00470B29">
        <w:tab/>
      </w:r>
      <w:r w:rsidR="00B829C1">
        <w:t>In short</w:t>
      </w:r>
      <w:r w:rsidRPr="00470B29">
        <w:t xml:space="preserve">, </w:t>
      </w:r>
      <w:r w:rsidR="00B829C1">
        <w:t>every</w:t>
      </w:r>
      <w:r w:rsidR="00787C57">
        <w:t xml:space="preserve"> expert at trial agreed</w:t>
      </w:r>
      <w:r w:rsidRPr="00470B29">
        <w:t>, and all the literature and policies shown to the jury</w:t>
      </w:r>
      <w:r w:rsidR="00787C57">
        <w:t xml:space="preserve"> stated</w:t>
      </w:r>
      <w:r w:rsidRPr="00470B29">
        <w:t>, that</w:t>
      </w:r>
      <w:r w:rsidR="005C18FC" w:rsidRPr="00787C57">
        <w:rPr>
          <w:noProof/>
        </w:rPr>
        <w:t xml:space="preserve"> </w:t>
      </w:r>
      <w:r w:rsidR="00EA52C9" w:rsidRPr="00787C57">
        <w:rPr>
          <w:noProof/>
        </w:rPr>
        <w:t>national standard</w:t>
      </w:r>
      <w:r w:rsidR="00204179">
        <w:rPr>
          <w:noProof/>
        </w:rPr>
        <w:t>s</w:t>
      </w:r>
      <w:r w:rsidR="00EA52C9">
        <w:t xml:space="preserve"> of care call</w:t>
      </w:r>
      <w:r w:rsidR="005C18FC" w:rsidRPr="00470B29">
        <w:t xml:space="preserve"> for </w:t>
      </w:r>
      <w:r w:rsidRPr="00470B29">
        <w:t xml:space="preserve">PIV sites </w:t>
      </w:r>
      <w:r w:rsidR="005C18FC" w:rsidRPr="00470B29">
        <w:t>in newborns to</w:t>
      </w:r>
      <w:r w:rsidRPr="00470B29">
        <w:t xml:space="preserve"> be checked hourly, and that PIVs should be removed at the </w:t>
      </w:r>
      <w:r w:rsidR="00470B29" w:rsidRPr="00470B29">
        <w:t xml:space="preserve">first signs of infiltration. </w:t>
      </w:r>
    </w:p>
    <w:p w:rsidR="00885D90" w:rsidRDefault="00EA52C9" w:rsidP="00A26DE5">
      <w:pPr>
        <w:autoSpaceDE w:val="0"/>
        <w:autoSpaceDN w:val="0"/>
        <w:adjustRightInd w:val="0"/>
        <w:spacing w:line="480" w:lineRule="auto"/>
      </w:pPr>
      <w:r>
        <w:tab/>
      </w:r>
      <w:r w:rsidR="004D1335">
        <w:t xml:space="preserve">Ultimately, </w:t>
      </w:r>
      <w:r w:rsidR="00F642B2">
        <w:t xml:space="preserve">the question of liability wasn’t </w:t>
      </w:r>
      <w:r w:rsidR="004D1335">
        <w:t xml:space="preserve">about disputed standards of </w:t>
      </w:r>
      <w:r w:rsidR="004D1335" w:rsidRPr="008667EA">
        <w:rPr>
          <w:noProof/>
        </w:rPr>
        <w:t>care,</w:t>
      </w:r>
      <w:r w:rsidR="004D1335">
        <w:t xml:space="preserve"> but </w:t>
      </w:r>
      <w:r w:rsidR="00F642B2">
        <w:t xml:space="preserve">was </w:t>
      </w:r>
      <w:r w:rsidR="004D1335">
        <w:t>about what Nurse Kim did or didn’t do</w:t>
      </w:r>
      <w:r w:rsidR="00204179">
        <w:t>. T</w:t>
      </w:r>
      <w:r w:rsidR="004D1335">
        <w:t xml:space="preserve">he jury could </w:t>
      </w:r>
      <w:r w:rsidR="00F642B2">
        <w:t xml:space="preserve">well </w:t>
      </w:r>
      <w:r w:rsidR="004D1335">
        <w:t xml:space="preserve">have found </w:t>
      </w:r>
      <w:r w:rsidR="00204179">
        <w:t xml:space="preserve">that </w:t>
      </w:r>
      <w:r w:rsidR="004D1335">
        <w:t>Nurse Kim negligen</w:t>
      </w:r>
      <w:r w:rsidR="00204179">
        <w:t xml:space="preserve">tly </w:t>
      </w:r>
      <w:r>
        <w:t xml:space="preserve">failed to </w:t>
      </w:r>
      <w:r w:rsidR="00204179">
        <w:t xml:space="preserve">comply with the agreed standard to </w:t>
      </w:r>
      <w:r>
        <w:t xml:space="preserve">monitor </w:t>
      </w:r>
      <w:r w:rsidR="00DB450E">
        <w:t>R.G.’s</w:t>
      </w:r>
      <w:r w:rsidR="00F642B2">
        <w:t xml:space="preserve"> PIV site hourly</w:t>
      </w:r>
      <w:r w:rsidR="00204179">
        <w:t xml:space="preserve">. </w:t>
      </w:r>
      <w:r w:rsidR="00DB450E">
        <w:t>R.G.’s</w:t>
      </w:r>
      <w:r w:rsidR="00D3543E">
        <w:t xml:space="preserve"> grandmother, Shirley Goss, </w:t>
      </w:r>
      <w:r w:rsidR="00204179">
        <w:t xml:space="preserve">testified </w:t>
      </w:r>
      <w:r w:rsidR="00D3543E">
        <w:t>that Nurse Kim told her</w:t>
      </w:r>
      <w:r w:rsidR="00562B65">
        <w:t xml:space="preserve"> shortly after 3</w:t>
      </w:r>
      <w:r w:rsidR="008667EA">
        <w:t xml:space="preserve"> </w:t>
      </w:r>
      <w:r w:rsidR="00562B65">
        <w:t>pm, when the infiltration was first discovered</w:t>
      </w:r>
      <w:r w:rsidR="00984F60">
        <w:t xml:space="preserve"> and when the two of them were standing over R.G.’s incubator</w:t>
      </w:r>
      <w:r w:rsidR="00562B65">
        <w:t>, that</w:t>
      </w:r>
      <w:r w:rsidR="00D3543E">
        <w:t xml:space="preserve"> it had been two hours since anyone check</w:t>
      </w:r>
      <w:r w:rsidR="00562B65">
        <w:t>ed</w:t>
      </w:r>
      <w:r w:rsidR="00D3543E">
        <w:t xml:space="preserve"> on </w:t>
      </w:r>
      <w:r w:rsidR="00DB450E">
        <w:t>R.G</w:t>
      </w:r>
      <w:r w:rsidR="00D3543E">
        <w:t xml:space="preserve">. </w:t>
      </w:r>
      <w:r w:rsidR="00900BC3">
        <w:t xml:space="preserve">This testimony alone, coupled with the agreed standard for hourly checks, would defeat Georgetown’s motion. </w:t>
      </w:r>
      <w:r w:rsidR="00204179">
        <w:t>P</w:t>
      </w:r>
      <w:r w:rsidR="005919BF">
        <w:t>laintiffs</w:t>
      </w:r>
      <w:r w:rsidR="00975789">
        <w:t xml:space="preserve">’ experts </w:t>
      </w:r>
      <w:r w:rsidR="00204179">
        <w:t xml:space="preserve">corroborated the nurse’s admission to the grandmother in their testimony that this severe </w:t>
      </w:r>
      <w:r w:rsidR="00975789">
        <w:t>Stage IV infiltration wound</w:t>
      </w:r>
      <w:r w:rsidR="00204179">
        <w:t xml:space="preserve"> likely developed over a period of </w:t>
      </w:r>
      <w:r w:rsidR="00CF5E02">
        <w:t xml:space="preserve">at least </w:t>
      </w:r>
      <w:r w:rsidR="00204179">
        <w:t xml:space="preserve">two hours and could not have happened </w:t>
      </w:r>
      <w:r w:rsidR="00975789">
        <w:t xml:space="preserve">in less than </w:t>
      </w:r>
      <w:r w:rsidR="00204179">
        <w:t>one</w:t>
      </w:r>
      <w:r w:rsidR="00975789">
        <w:t xml:space="preserve"> hour</w:t>
      </w:r>
      <w:r w:rsidR="005919BF">
        <w:t>.</w:t>
      </w:r>
      <w:r w:rsidR="008D474C">
        <w:t xml:space="preserve"> (</w:t>
      </w:r>
      <w:r w:rsidR="008D474C">
        <w:rPr>
          <w:i/>
        </w:rPr>
        <w:t xml:space="preserve">See </w:t>
      </w:r>
      <w:r w:rsidR="008D474C">
        <w:t>Def. Ex. 1, Ga</w:t>
      </w:r>
      <w:r w:rsidR="00D90D2C">
        <w:t>r</w:t>
      </w:r>
      <w:r w:rsidR="008D474C">
        <w:t xml:space="preserve">dner Tr. at </w:t>
      </w:r>
      <w:r w:rsidR="00D90D2C">
        <w:t xml:space="preserve">95:2-8; Def. Ex. 2, Hermansen Tr. at </w:t>
      </w:r>
      <w:r w:rsidR="00555F17">
        <w:t>64:22-65:4.)</w:t>
      </w:r>
      <w:r w:rsidR="005919BF">
        <w:t xml:space="preserve"> </w:t>
      </w:r>
      <w:r w:rsidR="001620A4">
        <w:t xml:space="preserve">Georgetown does not now challenge the sufficiency of this causation testimony from Nurse Gardner or Dr. Hermansen. </w:t>
      </w:r>
    </w:p>
    <w:p w:rsidR="00AF0847" w:rsidRPr="008E7A4C" w:rsidRDefault="00D3543E" w:rsidP="00885D90">
      <w:pPr>
        <w:autoSpaceDE w:val="0"/>
        <w:autoSpaceDN w:val="0"/>
        <w:adjustRightInd w:val="0"/>
        <w:spacing w:line="480" w:lineRule="auto"/>
        <w:ind w:firstLine="720"/>
      </w:pPr>
      <w:r>
        <w:lastRenderedPageBreak/>
        <w:t>There was also</w:t>
      </w:r>
      <w:r w:rsidR="00787C57">
        <w:t>, of course,</w:t>
      </w:r>
      <w:r w:rsidR="004942DA">
        <w:t xml:space="preserve"> a dispute over what actions Nurse Kim took when she first observed puffiness at the PIV site at </w:t>
      </w:r>
      <w:r w:rsidR="004942DA" w:rsidRPr="00787C57">
        <w:rPr>
          <w:noProof/>
        </w:rPr>
        <w:t>2</w:t>
      </w:r>
      <w:r w:rsidR="00787C57">
        <w:rPr>
          <w:noProof/>
        </w:rPr>
        <w:t xml:space="preserve"> </w:t>
      </w:r>
      <w:r w:rsidR="004942DA" w:rsidRPr="00787C57">
        <w:rPr>
          <w:noProof/>
        </w:rPr>
        <w:t>pm</w:t>
      </w:r>
      <w:r w:rsidR="004942DA">
        <w:t xml:space="preserve">. Nurse Kim had no recollection of this event, and her testimony about what she would have done was based on her </w:t>
      </w:r>
      <w:r w:rsidR="00204179">
        <w:t xml:space="preserve">alleged </w:t>
      </w:r>
      <w:r w:rsidR="004942DA">
        <w:t>habit and custom – and therefore the jury was free to disregard that she actually did any of these things</w:t>
      </w:r>
      <w:r w:rsidR="008716FF">
        <w:t>:</w:t>
      </w:r>
      <w:r w:rsidR="004942DA">
        <w:t xml:space="preserve"> aspirated and flushed, touched the PIV site to asses for blanching, and ma</w:t>
      </w:r>
      <w:r w:rsidR="00204179">
        <w:t>de</w:t>
      </w:r>
      <w:r w:rsidR="004942DA">
        <w:t xml:space="preserve"> more frequent checks after </w:t>
      </w:r>
      <w:r w:rsidR="004942DA" w:rsidRPr="001F4391">
        <w:rPr>
          <w:noProof/>
        </w:rPr>
        <w:t>2</w:t>
      </w:r>
      <w:r w:rsidR="001F4391">
        <w:rPr>
          <w:noProof/>
        </w:rPr>
        <w:t xml:space="preserve"> </w:t>
      </w:r>
      <w:r w:rsidR="004942DA" w:rsidRPr="001F4391">
        <w:rPr>
          <w:noProof/>
        </w:rPr>
        <w:t>pm</w:t>
      </w:r>
      <w:r w:rsidR="004942DA">
        <w:t xml:space="preserve">. </w:t>
      </w:r>
      <w:r w:rsidR="00036BA2">
        <w:t>If the jury believed that Nurse Kim hadn’t</w:t>
      </w:r>
      <w:r w:rsidR="001F4391">
        <w:t xml:space="preserve"> taken </w:t>
      </w:r>
      <w:r w:rsidR="001F4391" w:rsidRPr="001F4391">
        <w:rPr>
          <w:noProof/>
        </w:rPr>
        <w:t>these</w:t>
      </w:r>
      <w:r w:rsidR="001F4391">
        <w:t xml:space="preserve"> steps, </w:t>
      </w:r>
      <w:r w:rsidR="00204179">
        <w:t>it</w:t>
      </w:r>
      <w:r w:rsidR="001F4391">
        <w:t xml:space="preserve"> </w:t>
      </w:r>
      <w:r w:rsidR="00036BA2">
        <w:t xml:space="preserve">also </w:t>
      </w:r>
      <w:r w:rsidR="001F4391">
        <w:t>could</w:t>
      </w:r>
      <w:r w:rsidR="00036BA2">
        <w:t xml:space="preserve"> have</w:t>
      </w:r>
      <w:r w:rsidR="001F4391">
        <w:t xml:space="preserve"> found her to be</w:t>
      </w:r>
      <w:r w:rsidR="00036BA2">
        <w:t xml:space="preserve"> in violation of the standard of care</w:t>
      </w:r>
      <w:r w:rsidR="001F4391">
        <w:t>,</w:t>
      </w:r>
      <w:r w:rsidR="00036BA2">
        <w:t xml:space="preserve"> as articulated by Georgetown’s own expert. </w:t>
      </w:r>
      <w:r w:rsidR="008E7A4C">
        <w:t>(</w:t>
      </w:r>
      <w:r w:rsidR="008E7A4C">
        <w:rPr>
          <w:i/>
        </w:rPr>
        <w:t xml:space="preserve">See </w:t>
      </w:r>
      <w:r w:rsidR="008E7A4C">
        <w:t>Ex. 3, Hodge Tr. Vol. 2, 6:5-16.)</w:t>
      </w:r>
      <w:r w:rsidR="00204179">
        <w:t xml:space="preserve">  In short, abundant testimony in this case more than satisfied plaintiff’s burden to show, by the end of the trial, national standards of care whose violation </w:t>
      </w:r>
      <w:r w:rsidR="00F11775">
        <w:t>proximately caused R.G.’</w:t>
      </w:r>
      <w:r w:rsidR="00204179">
        <w:t>s injuries.</w:t>
      </w:r>
    </w:p>
    <w:p w:rsidR="00E956B1" w:rsidRPr="00470B29" w:rsidRDefault="00E956B1" w:rsidP="00E956B1">
      <w:pPr>
        <w:shd w:val="clear" w:color="auto" w:fill="FFFFFF"/>
        <w:rPr>
          <w:rFonts w:eastAsia="Times New Roman"/>
          <w:color w:val="000000"/>
        </w:rPr>
      </w:pPr>
      <w:r w:rsidRPr="00470B29">
        <w:rPr>
          <w:rFonts w:eastAsia="Times New Roman"/>
          <w:i/>
          <w:iCs/>
          <w:color w:val="000000"/>
        </w:rPr>
        <w:t> </w:t>
      </w:r>
    </w:p>
    <w:p w:rsidR="00117E1E" w:rsidRPr="000F32F3" w:rsidRDefault="00117E1E" w:rsidP="000F057D">
      <w:pPr>
        <w:pStyle w:val="ListParagraph"/>
        <w:numPr>
          <w:ilvl w:val="0"/>
          <w:numId w:val="26"/>
        </w:numPr>
        <w:shd w:val="clear" w:color="auto" w:fill="FFFFFF"/>
        <w:tabs>
          <w:tab w:val="left" w:pos="6750"/>
        </w:tabs>
        <w:spacing w:line="480" w:lineRule="auto"/>
        <w:ind w:right="920"/>
        <w:rPr>
          <w:rFonts w:eastAsia="Times New Roman"/>
          <w:color w:val="000000"/>
        </w:rPr>
      </w:pPr>
      <w:r w:rsidRPr="000F32F3">
        <w:rPr>
          <w:rFonts w:eastAsia="Times New Roman"/>
          <w:b/>
          <w:color w:val="000000"/>
        </w:rPr>
        <w:t xml:space="preserve">The Court Correctly Gave the </w:t>
      </w:r>
      <w:r w:rsidRPr="000F32F3">
        <w:rPr>
          <w:rFonts w:eastAsia="Times New Roman"/>
          <w:b/>
          <w:i/>
          <w:color w:val="000000"/>
        </w:rPr>
        <w:t xml:space="preserve">Pannu </w:t>
      </w:r>
      <w:r w:rsidRPr="000F32F3">
        <w:rPr>
          <w:rFonts w:eastAsia="Times New Roman"/>
          <w:b/>
          <w:color w:val="000000"/>
        </w:rPr>
        <w:t>Instruction</w:t>
      </w:r>
    </w:p>
    <w:p w:rsidR="00365FCE" w:rsidRPr="00167B93" w:rsidRDefault="00365FCE" w:rsidP="009C3DEF">
      <w:pPr>
        <w:shd w:val="clear" w:color="auto" w:fill="FFFFFF"/>
        <w:spacing w:line="480" w:lineRule="auto"/>
        <w:ind w:firstLine="720"/>
        <w:rPr>
          <w:rFonts w:eastAsia="Times New Roman"/>
          <w:color w:val="000000"/>
        </w:rPr>
      </w:pPr>
      <w:r w:rsidRPr="000F32F3">
        <w:rPr>
          <w:rFonts w:eastAsia="Times New Roman"/>
          <w:color w:val="000000"/>
        </w:rPr>
        <w:t xml:space="preserve">The Court gave </w:t>
      </w:r>
      <w:r w:rsidR="000F32F3" w:rsidRPr="000F32F3">
        <w:rPr>
          <w:rFonts w:eastAsia="Times New Roman"/>
          <w:color w:val="000000"/>
        </w:rPr>
        <w:t xml:space="preserve">Standardized Civil Jury Instruction for the District of Columbia </w:t>
      </w:r>
      <w:r w:rsidR="000F32F3" w:rsidRPr="000F32F3">
        <w:rPr>
          <w:color w:val="212121"/>
        </w:rPr>
        <w:t>§ 9.02 (rev. ed. 2018)</w:t>
      </w:r>
      <w:r w:rsidRPr="000F32F3">
        <w:rPr>
          <w:rFonts w:eastAsia="Times New Roman"/>
          <w:color w:val="000000"/>
        </w:rPr>
        <w:t>, take</w:t>
      </w:r>
      <w:r w:rsidRPr="00470B29">
        <w:rPr>
          <w:rFonts w:eastAsia="Times New Roman"/>
          <w:color w:val="000000"/>
        </w:rPr>
        <w:t xml:space="preserve">n from </w:t>
      </w:r>
      <w:r w:rsidRPr="00470B29">
        <w:rPr>
          <w:rFonts w:eastAsia="Times New Roman"/>
          <w:i/>
          <w:color w:val="000000"/>
        </w:rPr>
        <w:t>Pannu v. Jacobson</w:t>
      </w:r>
      <w:r w:rsidRPr="00470B29">
        <w:rPr>
          <w:rFonts w:eastAsia="Times New Roman"/>
          <w:color w:val="000000"/>
        </w:rPr>
        <w:t>, 909 A.2d 178, 199 (D.C. 2006), which states</w:t>
      </w:r>
      <w:r w:rsidR="004E37FB">
        <w:rPr>
          <w:rFonts w:eastAsia="Times New Roman"/>
          <w:color w:val="000000"/>
        </w:rPr>
        <w:t>,</w:t>
      </w:r>
      <w:r w:rsidRPr="00470B29">
        <w:rPr>
          <w:rFonts w:eastAsia="Times New Roman"/>
          <w:color w:val="000000"/>
        </w:rPr>
        <w:t xml:space="preserve"> “</w:t>
      </w:r>
      <w:r w:rsidR="00167B93">
        <w:rPr>
          <w:rFonts w:eastAsia="Times New Roman"/>
          <w:color w:val="000000"/>
        </w:rPr>
        <w:t xml:space="preserve">A reasonable professional under the standard of care changes his or her conduct according to the danger he or she </w:t>
      </w:r>
      <w:r w:rsidR="00167B93" w:rsidRPr="001F4391">
        <w:rPr>
          <w:rFonts w:eastAsia="Times New Roman"/>
          <w:noProof/>
          <w:color w:val="000000"/>
        </w:rPr>
        <w:t>knows</w:t>
      </w:r>
      <w:r w:rsidR="00167B93">
        <w:rPr>
          <w:rFonts w:eastAsia="Times New Roman"/>
          <w:color w:val="000000"/>
        </w:rPr>
        <w:t xml:space="preserve"> or should know, exists. Therefore, </w:t>
      </w:r>
      <w:r w:rsidRPr="00470B29">
        <w:rPr>
          <w:rFonts w:eastAsia="Times New Roman"/>
          <w:color w:val="000000"/>
        </w:rPr>
        <w:t xml:space="preserve">as the danger increases, a reasonable </w:t>
      </w:r>
      <w:r w:rsidR="00167B93">
        <w:rPr>
          <w:rFonts w:eastAsia="Times New Roman"/>
          <w:color w:val="000000"/>
        </w:rPr>
        <w:t>professional</w:t>
      </w:r>
      <w:r w:rsidRPr="00470B29">
        <w:rPr>
          <w:rFonts w:eastAsia="Times New Roman"/>
          <w:color w:val="000000"/>
        </w:rPr>
        <w:t xml:space="preserve"> under the standard of care acts in accordance with those circumstances.” In </w:t>
      </w:r>
      <w:r w:rsidRPr="001F4391">
        <w:rPr>
          <w:rFonts w:eastAsia="Times New Roman"/>
          <w:i/>
          <w:noProof/>
          <w:color w:val="000000"/>
        </w:rPr>
        <w:t>Pannu</w:t>
      </w:r>
      <w:r w:rsidR="001F4391">
        <w:rPr>
          <w:rFonts w:eastAsia="Times New Roman"/>
          <w:i/>
          <w:noProof/>
          <w:color w:val="000000"/>
        </w:rPr>
        <w:t>,</w:t>
      </w:r>
      <w:r w:rsidRPr="00470B29">
        <w:rPr>
          <w:rFonts w:eastAsia="Times New Roman"/>
          <w:color w:val="000000"/>
        </w:rPr>
        <w:t xml:space="preserve"> the Court of Appeals had found it an abuse of discretion for the trial court to not have given that instruction, which is perhaps one reason why it has not become a standard instruction. </w:t>
      </w:r>
      <w:r w:rsidR="00167B93">
        <w:rPr>
          <w:rFonts w:eastAsia="Times New Roman"/>
          <w:i/>
          <w:color w:val="000000"/>
        </w:rPr>
        <w:t>Id.</w:t>
      </w:r>
      <w:r w:rsidR="00167B93">
        <w:rPr>
          <w:rFonts w:eastAsia="Times New Roman"/>
          <w:color w:val="000000"/>
        </w:rPr>
        <w:t xml:space="preserve"> </w:t>
      </w:r>
    </w:p>
    <w:p w:rsidR="009C3DEF" w:rsidRPr="00470B29" w:rsidRDefault="00365FCE" w:rsidP="009C3DEF">
      <w:pPr>
        <w:shd w:val="clear" w:color="auto" w:fill="FFFFFF"/>
        <w:spacing w:line="480" w:lineRule="auto"/>
        <w:ind w:firstLine="720"/>
        <w:rPr>
          <w:rFonts w:eastAsia="Times New Roman"/>
          <w:color w:val="000000"/>
        </w:rPr>
      </w:pPr>
      <w:r w:rsidRPr="00470B29">
        <w:rPr>
          <w:rFonts w:eastAsia="Times New Roman"/>
          <w:color w:val="000000"/>
        </w:rPr>
        <w:t xml:space="preserve">In this case, there was evidence that the “danger increased,” once Nurse Kim noted puffiness on </w:t>
      </w:r>
      <w:r w:rsidR="00B02C73">
        <w:rPr>
          <w:rFonts w:eastAsia="Times New Roman"/>
          <w:color w:val="000000"/>
        </w:rPr>
        <w:t>R.G.’s</w:t>
      </w:r>
      <w:r w:rsidRPr="00470B29">
        <w:rPr>
          <w:rFonts w:eastAsia="Times New Roman"/>
          <w:color w:val="000000"/>
        </w:rPr>
        <w:t xml:space="preserve"> chart at </w:t>
      </w:r>
      <w:r w:rsidRPr="001F4391">
        <w:rPr>
          <w:rFonts w:eastAsia="Times New Roman"/>
          <w:noProof/>
          <w:color w:val="000000"/>
        </w:rPr>
        <w:t>2</w:t>
      </w:r>
      <w:r w:rsidR="001F4391">
        <w:rPr>
          <w:rFonts w:eastAsia="Times New Roman"/>
          <w:noProof/>
          <w:color w:val="000000"/>
        </w:rPr>
        <w:t xml:space="preserve"> </w:t>
      </w:r>
      <w:r w:rsidRPr="001F4391">
        <w:rPr>
          <w:rFonts w:eastAsia="Times New Roman"/>
          <w:noProof/>
          <w:color w:val="000000"/>
        </w:rPr>
        <w:t>pm.</w:t>
      </w:r>
      <w:r w:rsidRPr="00470B29">
        <w:rPr>
          <w:rFonts w:eastAsia="Times New Roman"/>
          <w:color w:val="000000"/>
        </w:rPr>
        <w:t xml:space="preserve"> </w:t>
      </w:r>
      <w:r w:rsidR="009C3DEF" w:rsidRPr="00470B29">
        <w:rPr>
          <w:rFonts w:eastAsia="Times New Roman"/>
          <w:color w:val="000000"/>
        </w:rPr>
        <w:t xml:space="preserve">Nurse Kim recognizing that puffiness is among the first signs of infiltration, testified that she would have undertaken a slew of tasks in light of seeing puffiness, including aspirating and flushing the PIV line, physically touching the site to check for </w:t>
      </w:r>
      <w:r w:rsidR="009C3DEF" w:rsidRPr="00470B29">
        <w:rPr>
          <w:rFonts w:eastAsia="Times New Roman"/>
          <w:color w:val="000000"/>
        </w:rPr>
        <w:lastRenderedPageBreak/>
        <w:t xml:space="preserve">blanching, and most importantly, beginning more frequent checks of the site so that she would have examined in several more times in the hour following </w:t>
      </w:r>
      <w:r w:rsidR="009C3DEF" w:rsidRPr="001F4391">
        <w:rPr>
          <w:rFonts w:eastAsia="Times New Roman"/>
          <w:noProof/>
          <w:color w:val="000000"/>
        </w:rPr>
        <w:t>2</w:t>
      </w:r>
      <w:r w:rsidR="001F4391">
        <w:rPr>
          <w:rFonts w:eastAsia="Times New Roman"/>
          <w:noProof/>
          <w:color w:val="000000"/>
        </w:rPr>
        <w:t xml:space="preserve"> </w:t>
      </w:r>
      <w:r w:rsidR="009C3DEF" w:rsidRPr="001F4391">
        <w:rPr>
          <w:rFonts w:eastAsia="Times New Roman"/>
          <w:noProof/>
          <w:color w:val="000000"/>
        </w:rPr>
        <w:t>pm</w:t>
      </w:r>
      <w:r w:rsidR="009C3DEF" w:rsidRPr="00470B29">
        <w:rPr>
          <w:rFonts w:eastAsia="Times New Roman"/>
          <w:color w:val="000000"/>
        </w:rPr>
        <w:t xml:space="preserve">. </w:t>
      </w:r>
    </w:p>
    <w:p w:rsidR="00365FCE" w:rsidRPr="002D4DC4" w:rsidRDefault="009C3DEF" w:rsidP="002D4DC4">
      <w:pPr>
        <w:autoSpaceDE w:val="0"/>
        <w:autoSpaceDN w:val="0"/>
        <w:adjustRightInd w:val="0"/>
        <w:spacing w:line="480" w:lineRule="auto"/>
        <w:ind w:firstLine="720"/>
      </w:pPr>
      <w:r w:rsidRPr="00470B29">
        <w:rPr>
          <w:rFonts w:eastAsia="Times New Roman"/>
          <w:color w:val="000000"/>
        </w:rPr>
        <w:t>Nurse Hodge agreed with this approach</w:t>
      </w:r>
      <w:r w:rsidR="008F3D24" w:rsidRPr="00470B29">
        <w:rPr>
          <w:rFonts w:eastAsia="Times New Roman"/>
          <w:color w:val="000000"/>
        </w:rPr>
        <w:t xml:space="preserve">, saying it was a “good thing” for Nurse Kim to have checked the site more </w:t>
      </w:r>
      <w:r w:rsidR="009B299A">
        <w:rPr>
          <w:rFonts w:eastAsia="Times New Roman"/>
          <w:color w:val="000000"/>
        </w:rPr>
        <w:t>often</w:t>
      </w:r>
      <w:r w:rsidR="008F3D24" w:rsidRPr="00470B29">
        <w:rPr>
          <w:rFonts w:eastAsia="Times New Roman"/>
          <w:color w:val="000000"/>
        </w:rPr>
        <w:t xml:space="preserve"> between </w:t>
      </w:r>
      <w:r w:rsidR="008F3D24" w:rsidRPr="001F4391">
        <w:rPr>
          <w:rFonts w:eastAsia="Times New Roman"/>
          <w:noProof/>
          <w:color w:val="000000"/>
        </w:rPr>
        <w:t>2</w:t>
      </w:r>
      <w:r w:rsidR="001F4391">
        <w:rPr>
          <w:rFonts w:eastAsia="Times New Roman"/>
          <w:noProof/>
          <w:color w:val="000000"/>
        </w:rPr>
        <w:t xml:space="preserve"> </w:t>
      </w:r>
      <w:r w:rsidR="008F3D24" w:rsidRPr="001F4391">
        <w:rPr>
          <w:rFonts w:eastAsia="Times New Roman"/>
          <w:noProof/>
          <w:color w:val="000000"/>
        </w:rPr>
        <w:t>pm</w:t>
      </w:r>
      <w:r w:rsidR="008F3D24" w:rsidRPr="00470B29">
        <w:rPr>
          <w:rFonts w:eastAsia="Times New Roman"/>
          <w:color w:val="000000"/>
        </w:rPr>
        <w:t xml:space="preserve"> and </w:t>
      </w:r>
      <w:r w:rsidR="008F3D24" w:rsidRPr="001F4391">
        <w:rPr>
          <w:rFonts w:eastAsia="Times New Roman"/>
          <w:noProof/>
          <w:color w:val="000000"/>
        </w:rPr>
        <w:t>3</w:t>
      </w:r>
      <w:r w:rsidR="001F4391">
        <w:rPr>
          <w:rFonts w:eastAsia="Times New Roman"/>
          <w:noProof/>
          <w:color w:val="000000"/>
        </w:rPr>
        <w:t xml:space="preserve"> </w:t>
      </w:r>
      <w:r w:rsidR="008F3D24" w:rsidRPr="001F4391">
        <w:rPr>
          <w:rFonts w:eastAsia="Times New Roman"/>
          <w:noProof/>
          <w:color w:val="000000"/>
        </w:rPr>
        <w:t>pm</w:t>
      </w:r>
      <w:r w:rsidR="008F3D24" w:rsidRPr="00470B29">
        <w:rPr>
          <w:rFonts w:eastAsia="Times New Roman"/>
          <w:color w:val="000000"/>
        </w:rPr>
        <w:t>. (</w:t>
      </w:r>
      <w:r w:rsidR="002D4DC4">
        <w:t xml:space="preserve">Ex. 3, Hodge Tr. Vol. 2 at </w:t>
      </w:r>
      <w:r w:rsidR="008F3D24" w:rsidRPr="00470B29">
        <w:rPr>
          <w:rFonts w:eastAsia="Times New Roman"/>
          <w:color w:val="000000"/>
        </w:rPr>
        <w:t xml:space="preserve">27: </w:t>
      </w:r>
      <w:r w:rsidR="002D4DC4">
        <w:rPr>
          <w:rFonts w:eastAsia="Times New Roman"/>
          <w:color w:val="000000"/>
        </w:rPr>
        <w:t>6-17.)</w:t>
      </w:r>
    </w:p>
    <w:p w:rsidR="00117E1E" w:rsidRPr="00470B29" w:rsidRDefault="00BB3597" w:rsidP="00BB3597">
      <w:pPr>
        <w:shd w:val="clear" w:color="auto" w:fill="FFFFFF"/>
        <w:spacing w:line="480" w:lineRule="auto"/>
        <w:ind w:firstLine="720"/>
        <w:rPr>
          <w:rFonts w:eastAsia="Times New Roman"/>
          <w:color w:val="000000"/>
        </w:rPr>
      </w:pPr>
      <w:r w:rsidRPr="00470B29">
        <w:rPr>
          <w:rFonts w:eastAsia="Times New Roman"/>
          <w:color w:val="000000"/>
        </w:rPr>
        <w:t xml:space="preserve">The only reason a nurse would check a PIV site more frequently following an observation of puffiness is that </w:t>
      </w:r>
      <w:r w:rsidR="00902352">
        <w:rPr>
          <w:rFonts w:eastAsia="Times New Roman"/>
          <w:color w:val="000000"/>
        </w:rPr>
        <w:t>puffiness, i.e. swelling or edema,</w:t>
      </w:r>
      <w:r w:rsidRPr="00470B29">
        <w:rPr>
          <w:rFonts w:eastAsia="Times New Roman"/>
          <w:color w:val="000000"/>
        </w:rPr>
        <w:t xml:space="preserve"> is a potential sign of trouble. In other words, the presence of puffiness means that the danger has increased, and therefore a </w:t>
      </w:r>
      <w:r w:rsidRPr="00470B29">
        <w:rPr>
          <w:rFonts w:eastAsia="Times New Roman"/>
          <w:i/>
          <w:color w:val="000000"/>
        </w:rPr>
        <w:t>Pannu</w:t>
      </w:r>
      <w:r w:rsidRPr="00470B29">
        <w:rPr>
          <w:rFonts w:eastAsia="Times New Roman"/>
          <w:color w:val="000000"/>
        </w:rPr>
        <w:t xml:space="preserve"> instruction </w:t>
      </w:r>
      <w:r w:rsidR="00902352">
        <w:rPr>
          <w:rFonts w:eastAsia="Times New Roman"/>
          <w:color w:val="000000"/>
        </w:rPr>
        <w:t>was</w:t>
      </w:r>
      <w:r w:rsidRPr="00470B29">
        <w:rPr>
          <w:rFonts w:eastAsia="Times New Roman"/>
          <w:color w:val="000000"/>
        </w:rPr>
        <w:t xml:space="preserve"> </w:t>
      </w:r>
      <w:r w:rsidR="00902352">
        <w:rPr>
          <w:rFonts w:eastAsia="Times New Roman"/>
          <w:color w:val="000000"/>
        </w:rPr>
        <w:t>appropriate</w:t>
      </w:r>
      <w:r w:rsidRPr="00470B29">
        <w:rPr>
          <w:rFonts w:eastAsia="Times New Roman"/>
          <w:color w:val="000000"/>
        </w:rPr>
        <w:t>. All parties agreed that a nurse should take additional steps in light of puffiness at a PIV site – the disputes</w:t>
      </w:r>
      <w:r w:rsidR="001F4391">
        <w:rPr>
          <w:rFonts w:eastAsia="Times New Roman"/>
          <w:color w:val="000000"/>
        </w:rPr>
        <w:t>, in this case,</w:t>
      </w:r>
      <w:r w:rsidRPr="00470B29">
        <w:rPr>
          <w:rFonts w:eastAsia="Times New Roman"/>
          <w:color w:val="000000"/>
        </w:rPr>
        <w:t xml:space="preserve"> were 1) whether Nurse Kim actually was observing the site hourly</w:t>
      </w:r>
      <w:r w:rsidR="008716FF">
        <w:rPr>
          <w:rFonts w:eastAsia="Times New Roman"/>
          <w:color w:val="000000"/>
        </w:rPr>
        <w:t>;</w:t>
      </w:r>
      <w:r w:rsidRPr="00470B29">
        <w:rPr>
          <w:rFonts w:eastAsia="Times New Roman"/>
          <w:color w:val="000000"/>
        </w:rPr>
        <w:t xml:space="preserve"> 2)</w:t>
      </w:r>
      <w:r w:rsidR="008716FF">
        <w:rPr>
          <w:rFonts w:eastAsia="Times New Roman"/>
          <w:color w:val="000000"/>
        </w:rPr>
        <w:t xml:space="preserve"> </w:t>
      </w:r>
      <w:r w:rsidRPr="00470B29">
        <w:rPr>
          <w:rFonts w:eastAsia="Times New Roman"/>
          <w:color w:val="000000"/>
        </w:rPr>
        <w:t xml:space="preserve">whether Nurse Kim should have removed the PIV </w:t>
      </w:r>
      <w:r w:rsidR="008716FF">
        <w:rPr>
          <w:rFonts w:eastAsia="Times New Roman"/>
          <w:color w:val="000000"/>
        </w:rPr>
        <w:t>when she observed</w:t>
      </w:r>
      <w:r w:rsidRPr="00470B29">
        <w:rPr>
          <w:rFonts w:eastAsia="Times New Roman"/>
          <w:color w:val="000000"/>
        </w:rPr>
        <w:t xml:space="preserve"> puffiness</w:t>
      </w:r>
      <w:r w:rsidR="008716FF">
        <w:rPr>
          <w:rFonts w:eastAsia="Times New Roman"/>
          <w:color w:val="000000"/>
        </w:rPr>
        <w:t>;</w:t>
      </w:r>
      <w:r w:rsidRPr="00470B29">
        <w:rPr>
          <w:rFonts w:eastAsia="Times New Roman"/>
          <w:color w:val="000000"/>
        </w:rPr>
        <w:t xml:space="preserve"> and 3) whether Nurse Kim actually took all the steps that she said were her custom and practice. Therefore, the Court appropriately gave the </w:t>
      </w:r>
      <w:r w:rsidRPr="00470B29">
        <w:rPr>
          <w:rFonts w:eastAsia="Times New Roman"/>
          <w:i/>
          <w:color w:val="000000"/>
        </w:rPr>
        <w:t>Pannu</w:t>
      </w:r>
      <w:r w:rsidR="00590BE2">
        <w:rPr>
          <w:rFonts w:eastAsia="Times New Roman"/>
          <w:color w:val="000000"/>
        </w:rPr>
        <w:t xml:space="preserve"> instruction.</w:t>
      </w:r>
      <w:r w:rsidR="003B1C04">
        <w:rPr>
          <w:rFonts w:eastAsia="Times New Roman"/>
          <w:color w:val="000000"/>
        </w:rPr>
        <w:t xml:space="preserve"> In any case, the instruction was never quoted in closing argument, and Georgetown does not try to make a case for why this alleged error was harmful to the point of requiring a new trial. </w:t>
      </w:r>
    </w:p>
    <w:p w:rsidR="00117E1E" w:rsidRPr="000F057D" w:rsidRDefault="00117E1E" w:rsidP="00801E90">
      <w:pPr>
        <w:pStyle w:val="ListParagraph"/>
        <w:numPr>
          <w:ilvl w:val="0"/>
          <w:numId w:val="26"/>
        </w:numPr>
        <w:shd w:val="clear" w:color="auto" w:fill="FFFFFF"/>
        <w:ind w:right="920"/>
        <w:jc w:val="both"/>
        <w:rPr>
          <w:rFonts w:eastAsia="Times New Roman"/>
          <w:color w:val="000000"/>
        </w:rPr>
      </w:pPr>
      <w:r w:rsidRPr="000F057D">
        <w:rPr>
          <w:rFonts w:eastAsia="Times New Roman"/>
          <w:b/>
          <w:color w:val="000000"/>
        </w:rPr>
        <w:t xml:space="preserve">Nurse Gardner Had </w:t>
      </w:r>
      <w:r w:rsidR="008716FF">
        <w:rPr>
          <w:rFonts w:eastAsia="Times New Roman"/>
          <w:b/>
          <w:color w:val="000000"/>
        </w:rPr>
        <w:t xml:space="preserve">A </w:t>
      </w:r>
      <w:r w:rsidRPr="000F057D">
        <w:rPr>
          <w:rFonts w:eastAsia="Times New Roman"/>
          <w:b/>
          <w:color w:val="000000"/>
        </w:rPr>
        <w:t xml:space="preserve">Sufficient Basis </w:t>
      </w:r>
      <w:r w:rsidR="00A873AB" w:rsidRPr="000F057D">
        <w:rPr>
          <w:rFonts w:eastAsia="Times New Roman"/>
          <w:b/>
          <w:color w:val="000000"/>
        </w:rPr>
        <w:t>for</w:t>
      </w:r>
      <w:r w:rsidR="008716FF">
        <w:rPr>
          <w:rFonts w:eastAsia="Times New Roman"/>
          <w:b/>
          <w:color w:val="000000"/>
        </w:rPr>
        <w:t xml:space="preserve"> Her</w:t>
      </w:r>
      <w:r w:rsidRPr="000F057D">
        <w:rPr>
          <w:rFonts w:eastAsia="Times New Roman"/>
          <w:b/>
          <w:color w:val="000000"/>
        </w:rPr>
        <w:t xml:space="preserve"> Opinion About the Amount of Fluid </w:t>
      </w:r>
      <w:r w:rsidR="008716FF">
        <w:rPr>
          <w:rFonts w:eastAsia="Times New Roman"/>
          <w:b/>
          <w:color w:val="000000"/>
        </w:rPr>
        <w:t>that Infiltrate</w:t>
      </w:r>
      <w:r w:rsidR="00872EE1">
        <w:rPr>
          <w:rFonts w:eastAsia="Times New Roman"/>
          <w:b/>
          <w:color w:val="000000"/>
        </w:rPr>
        <w:t>d</w:t>
      </w:r>
      <w:r w:rsidR="008716FF">
        <w:rPr>
          <w:rFonts w:eastAsia="Times New Roman"/>
          <w:b/>
          <w:color w:val="000000"/>
        </w:rPr>
        <w:t xml:space="preserve"> </w:t>
      </w:r>
    </w:p>
    <w:p w:rsidR="00117E1E" w:rsidRPr="00470B29" w:rsidRDefault="00117E1E" w:rsidP="00461FF6">
      <w:pPr>
        <w:shd w:val="clear" w:color="auto" w:fill="FFFFFF"/>
        <w:ind w:right="920"/>
        <w:rPr>
          <w:rFonts w:eastAsia="Times New Roman"/>
          <w:color w:val="000000"/>
          <w:u w:val="single"/>
        </w:rPr>
      </w:pPr>
    </w:p>
    <w:p w:rsidR="00365FCE" w:rsidRPr="00902352" w:rsidRDefault="00117E1E" w:rsidP="008E6B17">
      <w:pPr>
        <w:shd w:val="clear" w:color="auto" w:fill="FFFFFF"/>
        <w:spacing w:line="480" w:lineRule="auto"/>
        <w:ind w:right="20" w:firstLine="720"/>
        <w:jc w:val="both"/>
        <w:rPr>
          <w:rFonts w:eastAsia="Times New Roman"/>
          <w:color w:val="000000"/>
        </w:rPr>
      </w:pPr>
      <w:r w:rsidRPr="00470B29">
        <w:rPr>
          <w:rFonts w:eastAsia="Times New Roman"/>
          <w:color w:val="000000"/>
        </w:rPr>
        <w:t xml:space="preserve">Georgetown ignores its own policies and procedures in arguing that Nurse Gardner did not have a sufficient basis to give her opinion about how much fluid appeared to have infiltrated into </w:t>
      </w:r>
      <w:r w:rsidR="00B02C73">
        <w:rPr>
          <w:rFonts w:eastAsia="Times New Roman"/>
          <w:color w:val="000000"/>
        </w:rPr>
        <w:t>R.G.’s</w:t>
      </w:r>
      <w:r w:rsidRPr="00470B29">
        <w:rPr>
          <w:rFonts w:eastAsia="Times New Roman"/>
          <w:color w:val="000000"/>
        </w:rPr>
        <w:t xml:space="preserve"> right leg. </w:t>
      </w:r>
    </w:p>
    <w:p w:rsidR="004D6B7F" w:rsidRDefault="00F96BC1" w:rsidP="008E6B17">
      <w:pPr>
        <w:shd w:val="clear" w:color="auto" w:fill="FFFFFF"/>
        <w:spacing w:line="480" w:lineRule="auto"/>
        <w:ind w:right="20" w:firstLine="720"/>
        <w:rPr>
          <w:rFonts w:eastAsia="Times New Roman"/>
          <w:color w:val="000000"/>
          <w:shd w:val="clear" w:color="auto" w:fill="FFFFFF"/>
        </w:rPr>
      </w:pPr>
      <w:r w:rsidRPr="00F96BC1">
        <w:rPr>
          <w:rFonts w:eastAsia="Times New Roman"/>
          <w:color w:val="000000"/>
        </w:rPr>
        <w:t xml:space="preserve">The District of Columbia now applies a </w:t>
      </w:r>
      <w:r w:rsidRPr="00F96BC1">
        <w:rPr>
          <w:rFonts w:eastAsia="Times New Roman"/>
          <w:i/>
          <w:color w:val="000000"/>
        </w:rPr>
        <w:t>Daubert/Kumho</w:t>
      </w:r>
      <w:r w:rsidRPr="00F96BC1">
        <w:rPr>
          <w:rFonts w:eastAsia="Times New Roman"/>
          <w:color w:val="000000"/>
        </w:rPr>
        <w:t xml:space="preserve"> standard for reviewing expert </w:t>
      </w:r>
      <w:r w:rsidR="00E95A58">
        <w:rPr>
          <w:rFonts w:eastAsia="Times New Roman"/>
          <w:color w:val="000000"/>
        </w:rPr>
        <w:t>opinions</w:t>
      </w:r>
      <w:r w:rsidRPr="00F96BC1">
        <w:rPr>
          <w:rFonts w:eastAsia="Times New Roman"/>
          <w:color w:val="000000"/>
        </w:rPr>
        <w:t xml:space="preserve">, under </w:t>
      </w:r>
      <w:r w:rsidR="002A5A65" w:rsidRPr="00F96BC1">
        <w:rPr>
          <w:rFonts w:eastAsia="Times New Roman"/>
          <w:i/>
          <w:color w:val="000000"/>
        </w:rPr>
        <w:t>Motorola</w:t>
      </w:r>
      <w:r w:rsidR="002A5A65">
        <w:rPr>
          <w:rFonts w:eastAsia="Times New Roman"/>
          <w:i/>
          <w:color w:val="000000"/>
        </w:rPr>
        <w:t>,</w:t>
      </w:r>
      <w:r w:rsidRPr="00F96BC1">
        <w:rPr>
          <w:rFonts w:eastAsia="Times New Roman"/>
          <w:i/>
          <w:color w:val="000000"/>
        </w:rPr>
        <w:t xml:space="preserve"> Inc. v. Murray,</w:t>
      </w:r>
      <w:r w:rsidRPr="00F96BC1">
        <w:rPr>
          <w:rFonts w:eastAsia="Times New Roman"/>
          <w:color w:val="000000"/>
        </w:rPr>
        <w:t xml:space="preserve"> 147 A.3d 751 (D.C. 2016). T</w:t>
      </w:r>
      <w:r w:rsidRPr="00F96BC1">
        <w:rPr>
          <w:rFonts w:eastAsia="Times New Roman"/>
          <w:color w:val="000000"/>
          <w:shd w:val="clear" w:color="auto" w:fill="FFFFFF"/>
        </w:rPr>
        <w:t xml:space="preserve">he objective of the </w:t>
      </w:r>
      <w:r w:rsidR="008E6B17">
        <w:rPr>
          <w:rFonts w:eastAsia="Times New Roman"/>
          <w:color w:val="000000"/>
          <w:shd w:val="clear" w:color="auto" w:fill="FFFFFF"/>
        </w:rPr>
        <w:t xml:space="preserve">court’s </w:t>
      </w:r>
      <w:r w:rsidRPr="00F96BC1">
        <w:rPr>
          <w:rFonts w:eastAsia="Times New Roman"/>
          <w:color w:val="000000"/>
          <w:shd w:val="clear" w:color="auto" w:fill="FFFFFF"/>
        </w:rPr>
        <w:t xml:space="preserve">gatekeeping requirement “is to make certain that an expert ... employs in the courtroom the same level of intellectual rigor that characterizes the practice of an expert in the relevant </w:t>
      </w:r>
      <w:r w:rsidRPr="00F96BC1">
        <w:rPr>
          <w:rFonts w:eastAsia="Times New Roman"/>
          <w:color w:val="000000"/>
          <w:shd w:val="clear" w:color="auto" w:fill="FFFFFF"/>
        </w:rPr>
        <w:lastRenderedPageBreak/>
        <w:t>field.” </w:t>
      </w:r>
      <w:r w:rsidRPr="002A5A65">
        <w:rPr>
          <w:rFonts w:eastAsia="Times New Roman"/>
          <w:i/>
          <w:color w:val="000000"/>
          <w:shd w:val="clear" w:color="auto" w:fill="FFFFFF"/>
        </w:rPr>
        <w:t>Id</w:t>
      </w:r>
      <w:r w:rsidRPr="00F96BC1">
        <w:rPr>
          <w:rFonts w:eastAsia="Times New Roman"/>
          <w:color w:val="000000"/>
          <w:shd w:val="clear" w:color="auto" w:fill="FFFFFF"/>
        </w:rPr>
        <w:t xml:space="preserve">. at 755 (citing </w:t>
      </w:r>
      <w:hyperlink r:id="rId9" w:history="1">
        <w:r w:rsidRPr="00F96BC1">
          <w:rPr>
            <w:rFonts w:eastAsia="Times New Roman"/>
            <w:i/>
            <w:iCs/>
            <w:color w:val="000000"/>
            <w:shd w:val="clear" w:color="auto" w:fill="FFFFFF"/>
          </w:rPr>
          <w:t>Kumho Tire Co. v. Carmichael</w:t>
        </w:r>
        <w:r w:rsidRPr="00F96BC1">
          <w:rPr>
            <w:rFonts w:eastAsia="Times New Roman"/>
            <w:color w:val="000000"/>
            <w:shd w:val="clear" w:color="auto" w:fill="FFFFFF"/>
          </w:rPr>
          <w:t>, 526 U.S. 137, 141, 119 S.Ct. 1167, 143 L.Ed.2d 238 (1999)</w:t>
        </w:r>
      </w:hyperlink>
      <w:r>
        <w:rPr>
          <w:rFonts w:eastAsia="Times New Roman"/>
          <w:color w:val="000000"/>
          <w:shd w:val="clear" w:color="auto" w:fill="FFFFFF"/>
        </w:rPr>
        <w:t xml:space="preserve">). </w:t>
      </w:r>
    </w:p>
    <w:p w:rsidR="008E6B17" w:rsidRDefault="004D6B7F" w:rsidP="008E6B17">
      <w:pPr>
        <w:shd w:val="clear" w:color="auto" w:fill="FFFFFF"/>
        <w:spacing w:line="480" w:lineRule="auto"/>
        <w:ind w:right="20"/>
        <w:rPr>
          <w:rFonts w:eastAsia="Times New Roman"/>
          <w:color w:val="000000"/>
          <w:shd w:val="clear" w:color="auto" w:fill="FFFFFF"/>
        </w:rPr>
      </w:pPr>
      <w:r>
        <w:rPr>
          <w:rFonts w:eastAsia="Times New Roman"/>
          <w:color w:val="000000"/>
          <w:shd w:val="clear" w:color="auto" w:fill="FFFFFF"/>
        </w:rPr>
        <w:tab/>
        <w:t xml:space="preserve">Nurse Gardner testified that she </w:t>
      </w:r>
      <w:r w:rsidR="007B122D">
        <w:rPr>
          <w:rFonts w:eastAsia="Times New Roman"/>
          <w:color w:val="000000"/>
          <w:shd w:val="clear" w:color="auto" w:fill="FFFFFF"/>
        </w:rPr>
        <w:t xml:space="preserve">estimated the amount of fluid that infiltrated into </w:t>
      </w:r>
      <w:r w:rsidR="00B02C73">
        <w:rPr>
          <w:rFonts w:eastAsia="Times New Roman"/>
          <w:color w:val="000000"/>
          <w:shd w:val="clear" w:color="auto" w:fill="FFFFFF"/>
        </w:rPr>
        <w:t>R.G.’s</w:t>
      </w:r>
      <w:r w:rsidR="007B122D">
        <w:rPr>
          <w:rFonts w:eastAsia="Times New Roman"/>
          <w:color w:val="000000"/>
          <w:shd w:val="clear" w:color="auto" w:fill="FFFFFF"/>
        </w:rPr>
        <w:t xml:space="preserve"> foot by 1)</w:t>
      </w:r>
      <w:r w:rsidR="008E6B17">
        <w:rPr>
          <w:rFonts w:eastAsia="Times New Roman"/>
          <w:color w:val="000000"/>
          <w:shd w:val="clear" w:color="auto" w:fill="FFFFFF"/>
        </w:rPr>
        <w:t xml:space="preserve"> </w:t>
      </w:r>
      <w:r w:rsidR="007B122D">
        <w:rPr>
          <w:rFonts w:eastAsia="Times New Roman"/>
          <w:color w:val="000000"/>
          <w:shd w:val="clear" w:color="auto" w:fill="FFFFFF"/>
        </w:rPr>
        <w:t>looking at how much fluid was infusin</w:t>
      </w:r>
      <w:r w:rsidR="008E6B17">
        <w:rPr>
          <w:rFonts w:eastAsia="Times New Roman"/>
          <w:color w:val="000000"/>
          <w:shd w:val="clear" w:color="auto" w:fill="FFFFFF"/>
        </w:rPr>
        <w:t>g through R.G.’s PIV per hour</w:t>
      </w:r>
      <w:r w:rsidR="007B122D">
        <w:rPr>
          <w:rFonts w:eastAsia="Times New Roman"/>
          <w:color w:val="000000"/>
          <w:shd w:val="clear" w:color="auto" w:fill="FFFFFF"/>
        </w:rPr>
        <w:t xml:space="preserve">, 2) looking at the first documentation of “trouble,” which was puffiness noted at 1400, </w:t>
      </w:r>
      <w:r w:rsidR="008E6B17">
        <w:rPr>
          <w:rFonts w:eastAsia="Times New Roman"/>
          <w:color w:val="000000"/>
          <w:shd w:val="clear" w:color="auto" w:fill="FFFFFF"/>
        </w:rPr>
        <w:t xml:space="preserve">and </w:t>
      </w:r>
      <w:r w:rsidR="007B122D">
        <w:rPr>
          <w:rFonts w:eastAsia="Times New Roman"/>
          <w:color w:val="000000"/>
          <w:shd w:val="clear" w:color="auto" w:fill="FFFFFF"/>
        </w:rPr>
        <w:t xml:space="preserve">3) looking at </w:t>
      </w:r>
      <w:r w:rsidR="0053580B">
        <w:rPr>
          <w:rFonts w:eastAsia="Times New Roman"/>
          <w:color w:val="000000"/>
          <w:shd w:val="clear" w:color="auto" w:fill="FFFFFF"/>
        </w:rPr>
        <w:t xml:space="preserve">a </w:t>
      </w:r>
      <w:r w:rsidR="007B122D">
        <w:rPr>
          <w:rFonts w:eastAsia="Times New Roman"/>
          <w:color w:val="000000"/>
          <w:shd w:val="clear" w:color="auto" w:fill="FFFFFF"/>
        </w:rPr>
        <w:t xml:space="preserve">photo showing the appearance </w:t>
      </w:r>
      <w:r w:rsidR="0053580B">
        <w:rPr>
          <w:rFonts w:eastAsia="Times New Roman"/>
          <w:color w:val="000000"/>
          <w:shd w:val="clear" w:color="auto" w:fill="FFFFFF"/>
        </w:rPr>
        <w:t>of</w:t>
      </w:r>
      <w:r w:rsidR="007B122D">
        <w:rPr>
          <w:rFonts w:eastAsia="Times New Roman"/>
          <w:color w:val="000000"/>
          <w:shd w:val="clear" w:color="auto" w:fill="FFFFFF"/>
        </w:rPr>
        <w:t xml:space="preserve"> the foot taken a day after the infiltration.</w:t>
      </w:r>
      <w:r w:rsidR="00226D38">
        <w:rPr>
          <w:rFonts w:eastAsia="Times New Roman"/>
          <w:color w:val="000000"/>
          <w:shd w:val="clear" w:color="auto" w:fill="FFFFFF"/>
        </w:rPr>
        <w:t xml:space="preserve"> (</w:t>
      </w:r>
      <w:r w:rsidR="00B909F2">
        <w:rPr>
          <w:rFonts w:eastAsia="Times New Roman"/>
          <w:color w:val="000000"/>
          <w:shd w:val="clear" w:color="auto" w:fill="FFFFFF"/>
        </w:rPr>
        <w:t>Def.</w:t>
      </w:r>
      <w:r w:rsidR="00226D38">
        <w:rPr>
          <w:rFonts w:eastAsia="Times New Roman"/>
          <w:color w:val="000000"/>
          <w:shd w:val="clear" w:color="auto" w:fill="FFFFFF"/>
        </w:rPr>
        <w:t xml:space="preserve"> Ex. 1, Gardner Tr. at </w:t>
      </w:r>
      <w:r w:rsidR="007B122D">
        <w:rPr>
          <w:rFonts w:eastAsia="Times New Roman"/>
          <w:color w:val="000000"/>
          <w:shd w:val="clear" w:color="auto" w:fill="FFFFFF"/>
        </w:rPr>
        <w:t>8</w:t>
      </w:r>
      <w:r w:rsidR="00226D38">
        <w:rPr>
          <w:rFonts w:eastAsia="Times New Roman"/>
          <w:color w:val="000000"/>
          <w:shd w:val="clear" w:color="auto" w:fill="FFFFFF"/>
        </w:rPr>
        <w:t>8.)</w:t>
      </w:r>
      <w:r w:rsidR="007B122D">
        <w:rPr>
          <w:rFonts w:eastAsia="Times New Roman"/>
          <w:color w:val="000000"/>
          <w:shd w:val="clear" w:color="auto" w:fill="FFFFFF"/>
        </w:rPr>
        <w:t xml:space="preserve"> She testified that this was a “standard approach” </w:t>
      </w:r>
      <w:r w:rsidR="00226D38">
        <w:rPr>
          <w:rFonts w:eastAsia="Times New Roman"/>
          <w:color w:val="000000"/>
          <w:shd w:val="clear" w:color="auto" w:fill="FFFFFF"/>
        </w:rPr>
        <w:t>(</w:t>
      </w:r>
      <w:r w:rsidR="007B122D">
        <w:rPr>
          <w:rFonts w:eastAsia="Times New Roman"/>
          <w:i/>
          <w:color w:val="000000"/>
          <w:shd w:val="clear" w:color="auto" w:fill="FFFFFF"/>
        </w:rPr>
        <w:t>Id.</w:t>
      </w:r>
      <w:r w:rsidR="00226D38">
        <w:rPr>
          <w:rFonts w:eastAsia="Times New Roman"/>
          <w:color w:val="000000"/>
          <w:shd w:val="clear" w:color="auto" w:fill="FFFFFF"/>
        </w:rPr>
        <w:t>)</w:t>
      </w:r>
      <w:r w:rsidR="00355080">
        <w:rPr>
          <w:rFonts w:eastAsia="Times New Roman"/>
          <w:color w:val="000000"/>
          <w:shd w:val="clear" w:color="auto" w:fill="FFFFFF"/>
        </w:rPr>
        <w:t xml:space="preserve"> </w:t>
      </w:r>
      <w:r w:rsidR="00226D38">
        <w:rPr>
          <w:rFonts w:eastAsia="Times New Roman"/>
          <w:color w:val="000000"/>
          <w:shd w:val="clear" w:color="auto" w:fill="FFFFFF"/>
        </w:rPr>
        <w:t>and</w:t>
      </w:r>
      <w:r w:rsidR="00355080">
        <w:rPr>
          <w:rFonts w:eastAsia="Times New Roman"/>
          <w:color w:val="000000"/>
          <w:shd w:val="clear" w:color="auto" w:fill="FFFFFF"/>
        </w:rPr>
        <w:t xml:space="preserve"> </w:t>
      </w:r>
      <w:r w:rsidR="00226D38">
        <w:rPr>
          <w:rFonts w:eastAsia="Times New Roman"/>
          <w:color w:val="000000"/>
          <w:shd w:val="clear" w:color="auto" w:fill="FFFFFF"/>
        </w:rPr>
        <w:t>also</w:t>
      </w:r>
      <w:r w:rsidR="00355080">
        <w:rPr>
          <w:rFonts w:eastAsia="Times New Roman"/>
          <w:color w:val="000000"/>
          <w:shd w:val="clear" w:color="auto" w:fill="FFFFFF"/>
        </w:rPr>
        <w:t xml:space="preserve"> testified extensively about how she was trained as a nurse to make such estimates. (</w:t>
      </w:r>
      <w:r w:rsidR="00226D38">
        <w:rPr>
          <w:rFonts w:eastAsia="Times New Roman"/>
          <w:i/>
          <w:color w:val="000000"/>
          <w:shd w:val="clear" w:color="auto" w:fill="FFFFFF"/>
        </w:rPr>
        <w:t xml:space="preserve">Id. </w:t>
      </w:r>
      <w:r w:rsidR="00024334">
        <w:rPr>
          <w:rFonts w:eastAsia="Times New Roman"/>
          <w:color w:val="000000"/>
          <w:shd w:val="clear" w:color="auto" w:fill="FFFFFF"/>
        </w:rPr>
        <w:t>83-84.)</w:t>
      </w:r>
    </w:p>
    <w:p w:rsidR="00B043EE" w:rsidRPr="00A873AB" w:rsidRDefault="009205AF" w:rsidP="00A873AB">
      <w:pPr>
        <w:shd w:val="clear" w:color="auto" w:fill="FFFFFF"/>
        <w:spacing w:line="480" w:lineRule="auto"/>
        <w:ind w:right="20" w:firstLine="720"/>
        <w:rPr>
          <w:rFonts w:eastAsia="Times New Roman"/>
          <w:color w:val="000000"/>
          <w:shd w:val="clear" w:color="auto" w:fill="FFFFFF"/>
        </w:rPr>
      </w:pPr>
      <w:r>
        <w:rPr>
          <w:rFonts w:eastAsia="Times New Roman"/>
          <w:color w:val="000000"/>
          <w:shd w:val="clear" w:color="auto" w:fill="FFFFFF"/>
        </w:rPr>
        <w:t>This is such</w:t>
      </w:r>
      <w:r w:rsidR="007B122D">
        <w:rPr>
          <w:rFonts w:eastAsia="Times New Roman"/>
          <w:color w:val="000000"/>
          <w:shd w:val="clear" w:color="auto" w:fill="FFFFFF"/>
        </w:rPr>
        <w:t xml:space="preserve"> a standard approach that it is contained in both the literature that Nurse Gardner told the jury about, </w:t>
      </w:r>
      <w:r w:rsidR="006D2FE4">
        <w:rPr>
          <w:rFonts w:eastAsia="Times New Roman"/>
          <w:color w:val="000000"/>
          <w:shd w:val="clear" w:color="auto" w:fill="FFFFFF"/>
        </w:rPr>
        <w:t>as well</w:t>
      </w:r>
      <w:r w:rsidR="007B122D">
        <w:rPr>
          <w:rFonts w:eastAsia="Times New Roman"/>
          <w:color w:val="000000"/>
          <w:shd w:val="clear" w:color="auto" w:fill="FFFFFF"/>
        </w:rPr>
        <w:t xml:space="preserve"> in Georgetown’s own policies. </w:t>
      </w:r>
      <w:r w:rsidR="00B043EE">
        <w:rPr>
          <w:rFonts w:eastAsia="Times New Roman"/>
          <w:color w:val="000000"/>
          <w:shd w:val="clear" w:color="auto" w:fill="FFFFFF"/>
        </w:rPr>
        <w:t xml:space="preserve">As was stated above on pg. </w:t>
      </w:r>
      <w:r w:rsidR="006D2FE4">
        <w:rPr>
          <w:rFonts w:eastAsia="Times New Roman"/>
          <w:color w:val="000000"/>
          <w:shd w:val="clear" w:color="auto" w:fill="FFFFFF"/>
        </w:rPr>
        <w:t>5</w:t>
      </w:r>
      <w:r w:rsidR="008D76A6">
        <w:rPr>
          <w:rFonts w:eastAsia="Times New Roman"/>
          <w:color w:val="000000"/>
          <w:shd w:val="clear" w:color="auto" w:fill="FFFFFF"/>
        </w:rPr>
        <w:t>-6</w:t>
      </w:r>
      <w:r w:rsidR="00B043EE">
        <w:rPr>
          <w:rFonts w:eastAsia="Times New Roman"/>
          <w:color w:val="000000"/>
          <w:shd w:val="clear" w:color="auto" w:fill="FFFFFF"/>
        </w:rPr>
        <w:t xml:space="preserve"> of this brief</w:t>
      </w:r>
      <w:r w:rsidR="006D2FE4">
        <w:rPr>
          <w:rFonts w:eastAsia="Times New Roman"/>
          <w:color w:val="000000"/>
          <w:shd w:val="clear" w:color="auto" w:fill="FFFFFF"/>
        </w:rPr>
        <w:t>,</w:t>
      </w:r>
      <w:r w:rsidR="00B043EE">
        <w:rPr>
          <w:rFonts w:eastAsia="Times New Roman"/>
          <w:color w:val="000000"/>
          <w:shd w:val="clear" w:color="auto" w:fill="FFFFFF"/>
        </w:rPr>
        <w:t xml:space="preserve"> the American Journal of Nursing calls for nurses to “</w:t>
      </w:r>
      <w:r w:rsidR="00B043EE" w:rsidRPr="00470B29">
        <w:t>Estimate the volume of fluid or medication that escaped into the subcutaneous tissue according to the flow rate, the condition of the site in comparison with the previous observation, and the length of time between observations.</w:t>
      </w:r>
      <w:r w:rsidR="00B043EE">
        <w:t xml:space="preserve">” </w:t>
      </w:r>
      <w:r w:rsidR="006D2FE4">
        <w:t>(</w:t>
      </w:r>
      <w:r w:rsidR="006D2FE4">
        <w:rPr>
          <w:i/>
        </w:rPr>
        <w:t xml:space="preserve">Id. </w:t>
      </w:r>
      <w:r w:rsidR="006D2FE4">
        <w:t xml:space="preserve">at 34-35.) </w:t>
      </w:r>
    </w:p>
    <w:p w:rsidR="00AC3341" w:rsidRDefault="00B043EE" w:rsidP="00A873AB">
      <w:pPr>
        <w:shd w:val="clear" w:color="auto" w:fill="FFFFFF"/>
        <w:spacing w:line="480" w:lineRule="auto"/>
        <w:ind w:right="920"/>
      </w:pPr>
      <w:r>
        <w:tab/>
        <w:t xml:space="preserve">Georgetown’s own policies </w:t>
      </w:r>
      <w:r w:rsidR="00AC3341">
        <w:t xml:space="preserve">tell its nurses </w:t>
      </w:r>
      <w:r w:rsidR="0053580B">
        <w:rPr>
          <w:i/>
        </w:rPr>
        <w:t>three times</w:t>
      </w:r>
      <w:r w:rsidR="0053580B">
        <w:t xml:space="preserve"> </w:t>
      </w:r>
      <w:r w:rsidR="00AC3341">
        <w:t>to estimate the amount of fluid in an infiltration wound</w:t>
      </w:r>
      <w:r>
        <w:t>:</w:t>
      </w:r>
    </w:p>
    <w:p w:rsidR="00AC3341" w:rsidRPr="00AC3341" w:rsidRDefault="00AC3341" w:rsidP="00AC3341">
      <w:pPr>
        <w:shd w:val="clear" w:color="auto" w:fill="FFFFFF"/>
        <w:ind w:left="720" w:right="920"/>
        <w:jc w:val="both"/>
      </w:pPr>
      <w:r w:rsidRPr="00AC3341">
        <w:rPr>
          <w:color w:val="2B2222"/>
        </w:rPr>
        <w:t xml:space="preserve">Perform assessment and </w:t>
      </w:r>
      <w:r w:rsidRPr="00AC3341">
        <w:rPr>
          <w:color w:val="1A1212"/>
        </w:rPr>
        <w:t xml:space="preserve">documentation </w:t>
      </w:r>
      <w:r w:rsidRPr="00AC3341">
        <w:rPr>
          <w:color w:val="2B2222"/>
        </w:rPr>
        <w:t>of</w:t>
      </w:r>
      <w:r w:rsidR="00355080">
        <w:rPr>
          <w:color w:val="2B2222"/>
        </w:rPr>
        <w:t xml:space="preserve"> </w:t>
      </w:r>
      <w:r w:rsidRPr="00AC3341">
        <w:rPr>
          <w:color w:val="2B2222"/>
        </w:rPr>
        <w:t>the infiltration area, including color</w:t>
      </w:r>
      <w:r w:rsidRPr="00AC3341">
        <w:rPr>
          <w:color w:val="423C3E"/>
        </w:rPr>
        <w:t xml:space="preserve">, </w:t>
      </w:r>
      <w:r w:rsidRPr="00AC3341">
        <w:rPr>
          <w:color w:val="2B2222"/>
        </w:rPr>
        <w:t>perfusion</w:t>
      </w:r>
      <w:r w:rsidRPr="00AC3341">
        <w:rPr>
          <w:color w:val="423C3E"/>
        </w:rPr>
        <w:t xml:space="preserve">, </w:t>
      </w:r>
      <w:r w:rsidRPr="00AC3341">
        <w:rPr>
          <w:color w:val="2B2222"/>
        </w:rPr>
        <w:t>pulse</w:t>
      </w:r>
      <w:r w:rsidRPr="00AC3341">
        <w:rPr>
          <w:color w:val="423C3E"/>
        </w:rPr>
        <w:t xml:space="preserve">, </w:t>
      </w:r>
      <w:r w:rsidRPr="001F4391">
        <w:rPr>
          <w:noProof/>
          <w:color w:val="2B2222"/>
        </w:rPr>
        <w:t>range</w:t>
      </w:r>
      <w:r w:rsidRPr="00AC3341">
        <w:rPr>
          <w:color w:val="2B2222"/>
        </w:rPr>
        <w:t xml:space="preserve"> of motion</w:t>
      </w:r>
      <w:r w:rsidRPr="00AC3341">
        <w:rPr>
          <w:color w:val="423C3E"/>
        </w:rPr>
        <w:t xml:space="preserve">, </w:t>
      </w:r>
      <w:r w:rsidRPr="00AC3341">
        <w:rPr>
          <w:color w:val="2B2222"/>
        </w:rPr>
        <w:t xml:space="preserve">and </w:t>
      </w:r>
      <w:r w:rsidRPr="001F4391">
        <w:rPr>
          <w:noProof/>
          <w:color w:val="2B2222"/>
        </w:rPr>
        <w:t>estimated</w:t>
      </w:r>
      <w:r w:rsidRPr="00AC3341">
        <w:rPr>
          <w:color w:val="2B2222"/>
        </w:rPr>
        <w:t xml:space="preserve"> amount of infiltrated fluid based on time of discovery.” </w:t>
      </w:r>
      <w:r w:rsidRPr="00AC3341">
        <w:t xml:space="preserve">(Ex. </w:t>
      </w:r>
      <w:r w:rsidR="00BB4C1E">
        <w:t>1</w:t>
      </w:r>
      <w:r w:rsidRPr="00AC3341">
        <w:t>, Plaintiffs’</w:t>
      </w:r>
      <w:r w:rsidR="00BB4C1E">
        <w:t xml:space="preserve"> Trial Ex. 47 at 2.)</w:t>
      </w:r>
    </w:p>
    <w:p w:rsidR="00AC3341" w:rsidRPr="00AC3341" w:rsidRDefault="00AC3341" w:rsidP="00AC3341">
      <w:pPr>
        <w:shd w:val="clear" w:color="auto" w:fill="FFFFFF"/>
        <w:ind w:left="720" w:right="920"/>
        <w:jc w:val="both"/>
      </w:pPr>
    </w:p>
    <w:p w:rsidR="00AC3341" w:rsidRPr="00AC3341" w:rsidRDefault="00B043EE" w:rsidP="00AC3341">
      <w:pPr>
        <w:shd w:val="clear" w:color="auto" w:fill="FFFFFF"/>
        <w:ind w:left="720" w:right="920"/>
        <w:jc w:val="both"/>
      </w:pPr>
      <w:r w:rsidRPr="00AC3341">
        <w:t xml:space="preserve">Document assessment of the infiltrate, including color, perfusion, pulse, </w:t>
      </w:r>
      <w:r w:rsidRPr="001F4391">
        <w:rPr>
          <w:noProof/>
        </w:rPr>
        <w:t>range</w:t>
      </w:r>
      <w:r w:rsidRPr="00AC3341">
        <w:t xml:space="preserve"> of motion, and </w:t>
      </w:r>
      <w:r w:rsidRPr="001F4391">
        <w:rPr>
          <w:noProof/>
        </w:rPr>
        <w:t>estimated</w:t>
      </w:r>
      <w:r w:rsidRPr="00AC3341">
        <w:t xml:space="preserve"> amount of infiltrated fluid based on time of discovery. (</w:t>
      </w:r>
      <w:r w:rsidR="00BB4C1E">
        <w:rPr>
          <w:i/>
        </w:rPr>
        <w:t xml:space="preserve">Id. </w:t>
      </w:r>
      <w:r w:rsidR="00BB4C1E">
        <w:t>at 2.)</w:t>
      </w:r>
    </w:p>
    <w:p w:rsidR="00AC3341" w:rsidRPr="00AC3341" w:rsidRDefault="00AC3341" w:rsidP="00AC3341">
      <w:pPr>
        <w:shd w:val="clear" w:color="auto" w:fill="FFFFFF"/>
        <w:ind w:left="720" w:right="920"/>
        <w:jc w:val="both"/>
      </w:pPr>
    </w:p>
    <w:p w:rsidR="00AC3341" w:rsidRPr="00AC3341" w:rsidRDefault="00AC3341" w:rsidP="00AC3341">
      <w:pPr>
        <w:shd w:val="clear" w:color="auto" w:fill="FFFFFF"/>
        <w:ind w:left="720" w:right="920"/>
        <w:jc w:val="both"/>
      </w:pPr>
      <w:r w:rsidRPr="00AC3341">
        <w:t xml:space="preserve">Perform assessment and documentation of the infiltration area, including color, perfusion, pulse, </w:t>
      </w:r>
      <w:r w:rsidRPr="001F4391">
        <w:rPr>
          <w:noProof/>
        </w:rPr>
        <w:t>range</w:t>
      </w:r>
      <w:r w:rsidRPr="00AC3341">
        <w:t xml:space="preserve"> of motion, and </w:t>
      </w:r>
      <w:r w:rsidRPr="001F4391">
        <w:rPr>
          <w:noProof/>
        </w:rPr>
        <w:t>estimated</w:t>
      </w:r>
      <w:r w:rsidRPr="00AC3341">
        <w:t xml:space="preserve"> amount of infiltrated fluid based on time of discovery. (</w:t>
      </w:r>
      <w:r w:rsidRPr="00AC3341">
        <w:rPr>
          <w:i/>
        </w:rPr>
        <w:t xml:space="preserve">Id. </w:t>
      </w:r>
      <w:r w:rsidRPr="00AC3341">
        <w:t>at 4</w:t>
      </w:r>
      <w:r w:rsidR="00BB4C1E">
        <w:t>.</w:t>
      </w:r>
      <w:r w:rsidRPr="00AC3341">
        <w:t>)</w:t>
      </w:r>
    </w:p>
    <w:p w:rsidR="00F96BC1" w:rsidRDefault="00F96BC1" w:rsidP="00226D38">
      <w:pPr>
        <w:shd w:val="clear" w:color="auto" w:fill="FFFFFF"/>
        <w:ind w:right="920"/>
        <w:jc w:val="both"/>
        <w:rPr>
          <w:rFonts w:eastAsia="Times New Roman"/>
          <w:i/>
          <w:color w:val="000000"/>
        </w:rPr>
      </w:pPr>
    </w:p>
    <w:p w:rsidR="00C95502" w:rsidRDefault="00C95502" w:rsidP="00D35264">
      <w:pPr>
        <w:shd w:val="clear" w:color="auto" w:fill="FFFFFF"/>
        <w:spacing w:line="480" w:lineRule="auto"/>
        <w:ind w:right="20"/>
        <w:rPr>
          <w:rFonts w:eastAsia="Times New Roman"/>
          <w:color w:val="000000"/>
        </w:rPr>
      </w:pPr>
      <w:r>
        <w:rPr>
          <w:rFonts w:eastAsia="Times New Roman"/>
          <w:color w:val="000000"/>
        </w:rPr>
        <w:lastRenderedPageBreak/>
        <w:tab/>
        <w:t xml:space="preserve">In light of Nurse Gardner’s testimony, the objective nationally published literature, and its own policies and procedures, Georgetown cannot now credibly claim that Nurse Gardner’s estimate of the amount of fluid in </w:t>
      </w:r>
      <w:r w:rsidR="00B02C73">
        <w:rPr>
          <w:rFonts w:eastAsia="Times New Roman"/>
          <w:color w:val="000000"/>
        </w:rPr>
        <w:t>R.G.’s</w:t>
      </w:r>
      <w:r>
        <w:rPr>
          <w:rFonts w:eastAsia="Times New Roman"/>
          <w:color w:val="000000"/>
        </w:rPr>
        <w:t xml:space="preserve"> infiltration </w:t>
      </w:r>
      <w:r w:rsidR="00230441">
        <w:rPr>
          <w:rFonts w:eastAsia="Times New Roman"/>
          <w:noProof/>
          <w:color w:val="000000"/>
        </w:rPr>
        <w:t>was</w:t>
      </w:r>
      <w:r w:rsidR="00D35264">
        <w:rPr>
          <w:rFonts w:eastAsia="Times New Roman"/>
          <w:color w:val="000000"/>
        </w:rPr>
        <w:t xml:space="preserve"> anything other than a standard approach in the field of NICU nursing. </w:t>
      </w:r>
    </w:p>
    <w:p w:rsidR="00C95502" w:rsidRPr="00470B29" w:rsidRDefault="00C95502" w:rsidP="00117E1E">
      <w:pPr>
        <w:shd w:val="clear" w:color="auto" w:fill="FFFFFF"/>
        <w:ind w:right="920"/>
        <w:jc w:val="both"/>
        <w:rPr>
          <w:rFonts w:eastAsia="Times New Roman"/>
          <w:color w:val="000000"/>
          <w:u w:val="single"/>
        </w:rPr>
      </w:pPr>
    </w:p>
    <w:p w:rsidR="00E956B1" w:rsidRPr="000F057D" w:rsidRDefault="00117E1E" w:rsidP="00C8187F">
      <w:pPr>
        <w:pStyle w:val="ListParagraph"/>
        <w:keepNext/>
        <w:keepLines/>
        <w:numPr>
          <w:ilvl w:val="0"/>
          <w:numId w:val="25"/>
        </w:numPr>
        <w:shd w:val="clear" w:color="auto" w:fill="FFFFFF"/>
        <w:ind w:left="720" w:right="920"/>
        <w:jc w:val="both"/>
        <w:rPr>
          <w:rFonts w:eastAsia="Times New Roman"/>
          <w:color w:val="000000"/>
          <w:u w:val="single"/>
        </w:rPr>
      </w:pPr>
      <w:r w:rsidRPr="001F4391">
        <w:rPr>
          <w:rFonts w:eastAsia="Times New Roman"/>
          <w:b/>
          <w:noProof/>
          <w:color w:val="000000"/>
          <w:u w:val="single"/>
        </w:rPr>
        <w:t>Remitittur</w:t>
      </w:r>
      <w:r w:rsidRPr="000F057D">
        <w:rPr>
          <w:rFonts w:eastAsia="Times New Roman"/>
          <w:b/>
          <w:color w:val="000000"/>
          <w:u w:val="single"/>
        </w:rPr>
        <w:t xml:space="preserve"> is Inappropriate in this Case</w:t>
      </w:r>
    </w:p>
    <w:p w:rsidR="00E956B1" w:rsidRPr="00470B29" w:rsidRDefault="00E956B1" w:rsidP="00C8187F">
      <w:pPr>
        <w:keepNext/>
        <w:keepLines/>
        <w:rPr>
          <w:rFonts w:eastAsia="Times New Roman"/>
          <w:color w:val="000000"/>
        </w:rPr>
      </w:pPr>
    </w:p>
    <w:p w:rsidR="001D3598" w:rsidRDefault="001D3598" w:rsidP="00C8187F">
      <w:pPr>
        <w:pStyle w:val="ListParagraph"/>
        <w:keepNext/>
        <w:keepLines/>
        <w:numPr>
          <w:ilvl w:val="0"/>
          <w:numId w:val="31"/>
        </w:numPr>
        <w:spacing w:line="480" w:lineRule="auto"/>
        <w:rPr>
          <w:rFonts w:eastAsia="Times New Roman"/>
          <w:b/>
          <w:color w:val="000000"/>
        </w:rPr>
      </w:pPr>
      <w:r>
        <w:rPr>
          <w:rFonts w:eastAsia="Times New Roman"/>
          <w:b/>
          <w:color w:val="000000"/>
        </w:rPr>
        <w:t xml:space="preserve">Legal Standard </w:t>
      </w:r>
    </w:p>
    <w:p w:rsidR="001D3598" w:rsidRDefault="001D3598" w:rsidP="00C8187F">
      <w:pPr>
        <w:keepNext/>
        <w:keepLines/>
        <w:spacing w:line="480" w:lineRule="auto"/>
        <w:ind w:firstLine="720"/>
        <w:rPr>
          <w:rFonts w:eastAsia="Times New Roman"/>
          <w:color w:val="000000"/>
        </w:rPr>
      </w:pPr>
      <w:r>
        <w:rPr>
          <w:rFonts w:eastAsia="Times New Roman"/>
          <w:color w:val="000000"/>
        </w:rPr>
        <w:t>Georgetown concedes that</w:t>
      </w:r>
      <w:r>
        <w:rPr>
          <w:color w:val="000000" w:themeColor="text1"/>
        </w:rPr>
        <w:t xml:space="preserve"> the standard for reducing a jury’s assessment of the amount of damages is that the verdict must have “shocked the conscience” of the court. </w:t>
      </w:r>
      <w:r>
        <w:rPr>
          <w:rFonts w:eastAsia="Times New Roman"/>
          <w:color w:val="000000"/>
        </w:rPr>
        <w:t>But it never grapples with the high legal hurdl</w:t>
      </w:r>
      <w:r w:rsidR="00C90F79">
        <w:rPr>
          <w:rFonts w:eastAsia="Times New Roman"/>
          <w:color w:val="000000"/>
        </w:rPr>
        <w:t xml:space="preserve">e that creates for its motion. </w:t>
      </w:r>
      <w:r>
        <w:rPr>
          <w:rFonts w:eastAsia="Times New Roman"/>
          <w:color w:val="000000"/>
        </w:rPr>
        <w:t>Instead, Georgetown veers off into a summary of other cases of what it calls “intravenous infiltration injuries” as the sole basis for its argument, ignoring literally all of the evidence about R.G.’s injury.</w:t>
      </w:r>
    </w:p>
    <w:p w:rsidR="001D3598" w:rsidRDefault="001D3598" w:rsidP="000F6B6F">
      <w:pPr>
        <w:widowControl w:val="0"/>
        <w:spacing w:before="100" w:beforeAutospacing="1" w:after="100" w:afterAutospacing="1" w:line="480" w:lineRule="auto"/>
        <w:ind w:firstLine="720"/>
        <w:contextualSpacing/>
        <w:rPr>
          <w:rFonts w:eastAsia="Times New Roman"/>
          <w:bCs/>
          <w:color w:val="000000" w:themeColor="text1"/>
          <w:bdr w:val="none" w:sz="0" w:space="0" w:color="auto" w:frame="1"/>
          <w:shd w:val="clear" w:color="auto" w:fill="FFFFFF"/>
        </w:rPr>
      </w:pPr>
      <w:r>
        <w:rPr>
          <w:color w:val="000000" w:themeColor="text1"/>
        </w:rPr>
        <w:t>Because the defense goes astray in failing to follow this standard correctly, it is appropriate to briefly review the case law. The District of Columbia Court of Appeals – and before it, the D.C. Circuit – has used various formulations of the legal standard for when a trial court is authorized to reduce a jury’s verdict for personal injury damages. The trial court must find that the verdict “shocks the [court’s] conscience,”</w:t>
      </w:r>
      <w:r>
        <w:rPr>
          <w:rStyle w:val="FootnoteReference"/>
          <w:color w:val="000000" w:themeColor="text1"/>
        </w:rPr>
        <w:footnoteReference w:id="1"/>
      </w:r>
      <w:r>
        <w:rPr>
          <w:color w:val="000000" w:themeColor="text1"/>
        </w:rPr>
        <w:t xml:space="preserve"> or “</w:t>
      </w:r>
      <w:r>
        <w:rPr>
          <w:rFonts w:eastAsia="Times New Roman"/>
          <w:bCs/>
          <w:color w:val="000000" w:themeColor="text1"/>
          <w:bdr w:val="none" w:sz="0" w:space="0" w:color="auto" w:frame="1"/>
          <w:shd w:val="clear" w:color="auto" w:fill="FFFFFF"/>
        </w:rPr>
        <w:t xml:space="preserve">was the result of passion, prejudice, </w:t>
      </w:r>
      <w:r>
        <w:rPr>
          <w:rFonts w:eastAsia="Times New Roman"/>
          <w:bCs/>
          <w:color w:val="000000" w:themeColor="text1"/>
          <w:bdr w:val="none" w:sz="0" w:space="0" w:color="auto" w:frame="1"/>
          <w:shd w:val="clear" w:color="auto" w:fill="FFFFFF"/>
        </w:rPr>
        <w:lastRenderedPageBreak/>
        <w:t>or mistake,”</w:t>
      </w:r>
      <w:r>
        <w:rPr>
          <w:rStyle w:val="FootnoteReference"/>
          <w:rFonts w:eastAsia="Times New Roman"/>
          <w:bCs/>
          <w:color w:val="000000" w:themeColor="text1"/>
          <w:bdr w:val="none" w:sz="0" w:space="0" w:color="auto" w:frame="1"/>
          <w:shd w:val="clear" w:color="auto" w:fill="FFFFFF"/>
        </w:rPr>
        <w:footnoteReference w:id="2"/>
      </w:r>
      <w:r>
        <w:rPr>
          <w:rFonts w:eastAsia="Times New Roman"/>
          <w:bCs/>
          <w:color w:val="000000" w:themeColor="text1"/>
          <w:bdr w:val="none" w:sz="0" w:space="0" w:color="auto" w:frame="1"/>
          <w:shd w:val="clear" w:color="auto" w:fill="FFFFFF"/>
        </w:rPr>
        <w:t xml:space="preserve"> or was “monstrous,”</w:t>
      </w:r>
      <w:r>
        <w:rPr>
          <w:rStyle w:val="FootnoteReference"/>
          <w:rFonts w:eastAsia="Times New Roman"/>
          <w:bCs/>
          <w:color w:val="000000" w:themeColor="text1"/>
          <w:bdr w:val="none" w:sz="0" w:space="0" w:color="auto" w:frame="1"/>
          <w:shd w:val="clear" w:color="auto" w:fill="FFFFFF"/>
        </w:rPr>
        <w:footnoteReference w:id="3"/>
      </w:r>
      <w:r>
        <w:rPr>
          <w:rFonts w:eastAsia="Times New Roman"/>
          <w:bCs/>
          <w:color w:val="000000" w:themeColor="text1"/>
          <w:bdr w:val="none" w:sz="0" w:space="0" w:color="auto" w:frame="1"/>
          <w:shd w:val="clear" w:color="auto" w:fill="FFFFFF"/>
        </w:rPr>
        <w:t xml:space="preserve"> or a combination of these words.</w:t>
      </w:r>
      <w:r>
        <w:rPr>
          <w:rStyle w:val="FootnoteReference"/>
          <w:rFonts w:eastAsia="Times New Roman"/>
          <w:bCs/>
          <w:color w:val="000000" w:themeColor="text1"/>
          <w:bdr w:val="none" w:sz="0" w:space="0" w:color="auto" w:frame="1"/>
          <w:shd w:val="clear" w:color="auto" w:fill="FFFFFF"/>
        </w:rPr>
        <w:footnoteReference w:id="4"/>
      </w:r>
      <w:r>
        <w:rPr>
          <w:rFonts w:eastAsia="Times New Roman"/>
          <w:bCs/>
          <w:color w:val="000000" w:themeColor="text1"/>
          <w:bdr w:val="none" w:sz="0" w:space="0" w:color="auto" w:frame="1"/>
          <w:shd w:val="clear" w:color="auto" w:fill="FFFFFF"/>
        </w:rPr>
        <w:t xml:space="preserve"> All of these formulations work to accommodate the balance that the court must strike between respecting the jury’s constitutional role under the 7</w:t>
      </w:r>
      <w:r>
        <w:rPr>
          <w:rFonts w:eastAsia="Times New Roman"/>
          <w:bCs/>
          <w:color w:val="000000" w:themeColor="text1"/>
          <w:bdr w:val="none" w:sz="0" w:space="0" w:color="auto" w:frame="1"/>
          <w:shd w:val="clear" w:color="auto" w:fill="FFFFFF"/>
          <w:vertAlign w:val="superscript"/>
        </w:rPr>
        <w:t>th</w:t>
      </w:r>
      <w:r>
        <w:rPr>
          <w:rFonts w:eastAsia="Times New Roman"/>
          <w:bCs/>
          <w:color w:val="000000" w:themeColor="text1"/>
          <w:bdr w:val="none" w:sz="0" w:space="0" w:color="auto" w:frame="1"/>
          <w:shd w:val="clear" w:color="auto" w:fill="FFFFFF"/>
        </w:rPr>
        <w:t xml:space="preserve"> Amendment to decide the facts of the case and exercising judicial oversight when there has been a miscarriage of justice. </w:t>
      </w:r>
    </w:p>
    <w:p w:rsidR="001D3598" w:rsidRDefault="001D3598" w:rsidP="001D3598">
      <w:pPr>
        <w:spacing w:before="100" w:beforeAutospacing="1" w:after="100" w:afterAutospacing="1" w:line="480" w:lineRule="auto"/>
        <w:ind w:firstLine="720"/>
        <w:contextualSpacing/>
        <w:rPr>
          <w:rFonts w:eastAsia="Times New Roman"/>
          <w:color w:val="000000" w:themeColor="text1"/>
          <w:bdr w:val="none" w:sz="0" w:space="0" w:color="auto" w:frame="1"/>
          <w:shd w:val="clear" w:color="auto" w:fill="FFFFFF"/>
        </w:rPr>
      </w:pPr>
      <w:r>
        <w:rPr>
          <w:rFonts w:eastAsia="Times New Roman"/>
          <w:bCs/>
          <w:color w:val="000000" w:themeColor="text1"/>
          <w:bdr w:val="none" w:sz="0" w:space="0" w:color="auto" w:frame="1"/>
          <w:shd w:val="clear" w:color="auto" w:fill="FFFFFF"/>
        </w:rPr>
        <w:t xml:space="preserve">In addition, the jury verdict bears a presumption of validity. In </w:t>
      </w:r>
      <w:r>
        <w:rPr>
          <w:rFonts w:eastAsia="Times New Roman"/>
          <w:bCs/>
          <w:i/>
          <w:color w:val="000000" w:themeColor="text1"/>
          <w:bdr w:val="none" w:sz="0" w:space="0" w:color="auto" w:frame="1"/>
          <w:shd w:val="clear" w:color="auto" w:fill="FFFFFF"/>
        </w:rPr>
        <w:t xml:space="preserve">Louison v. Crockett, </w:t>
      </w:r>
      <w:r>
        <w:rPr>
          <w:rFonts w:eastAsia="Times New Roman"/>
          <w:bCs/>
          <w:color w:val="000000" w:themeColor="text1"/>
          <w:bdr w:val="none" w:sz="0" w:space="0" w:color="auto" w:frame="1"/>
          <w:shd w:val="clear" w:color="auto" w:fill="FFFFFF"/>
        </w:rPr>
        <w:t>546 A.2d 400, 403 (D.C. 1988),</w:t>
      </w:r>
      <w:r>
        <w:rPr>
          <w:rFonts w:eastAsia="Times New Roman"/>
          <w:bCs/>
          <w:i/>
          <w:color w:val="000000" w:themeColor="text1"/>
          <w:bdr w:val="none" w:sz="0" w:space="0" w:color="auto" w:frame="1"/>
          <w:shd w:val="clear" w:color="auto" w:fill="FFFFFF"/>
        </w:rPr>
        <w:t xml:space="preserve"> </w:t>
      </w:r>
      <w:r>
        <w:rPr>
          <w:rFonts w:eastAsia="Times New Roman"/>
          <w:bCs/>
          <w:color w:val="000000" w:themeColor="text1"/>
          <w:bdr w:val="none" w:sz="0" w:space="0" w:color="auto" w:frame="1"/>
          <w:shd w:val="clear" w:color="auto" w:fill="FFFFFF"/>
        </w:rPr>
        <w:t xml:space="preserve">the court introduced its discussion of a remittitur issue with this quotation from the often-cited case of </w:t>
      </w:r>
      <w:hyperlink r:id="rId10" w:history="1">
        <w:r w:rsidRPr="00DE2B40">
          <w:rPr>
            <w:rStyle w:val="Hyperlink"/>
            <w:rFonts w:eastAsia="Arial"/>
            <w:i/>
            <w:color w:val="000000" w:themeColor="text1"/>
            <w:u w:val="none"/>
          </w:rPr>
          <w:t>Vassiliades v. Garfinckel's, Brooks Bros.</w:t>
        </w:r>
      </w:hyperlink>
      <w:hyperlink r:id="rId11" w:history="1">
        <w:r w:rsidRPr="00DE2B40">
          <w:rPr>
            <w:rStyle w:val="Hyperlink"/>
            <w:rFonts w:eastAsia="Arial"/>
            <w:color w:val="000000" w:themeColor="text1"/>
            <w:u w:val="none"/>
          </w:rPr>
          <w:t>, 492 A.2d 580, 595 (D.C. 1985)</w:t>
        </w:r>
      </w:hyperlink>
      <w:r>
        <w:rPr>
          <w:rFonts w:eastAsia="Times New Roman"/>
          <w:bCs/>
          <w:color w:val="000000" w:themeColor="text1"/>
          <w:bdr w:val="none" w:sz="0" w:space="0" w:color="auto" w:frame="1"/>
          <w:shd w:val="clear" w:color="auto" w:fill="FFFFFF"/>
        </w:rPr>
        <w:t xml:space="preserve">:  </w:t>
      </w:r>
      <w:r w:rsidR="00027EAC">
        <w:rPr>
          <w:rFonts w:eastAsia="Arial"/>
          <w:color w:val="000000" w:themeColor="text1"/>
        </w:rPr>
        <w:t>“</w:t>
      </w:r>
      <w:r>
        <w:rPr>
          <w:rFonts w:eastAsia="Arial"/>
          <w:color w:val="000000" w:themeColor="text1"/>
        </w:rPr>
        <w:t>Trial courts have historically given great weight to jury verdicts, granting a new trial only where there are unusual circumstances which convince the trial judge, who has also heard the evidence and seen the witnesses, that the jury had been improperly influenced by non-germane factors or that its verdict is clearly unreasonable.”</w:t>
      </w:r>
      <w:r>
        <w:rPr>
          <w:rStyle w:val="FootnoteReference"/>
          <w:rFonts w:eastAsia="Arial"/>
          <w:color w:val="000000" w:themeColor="text1"/>
        </w:rPr>
        <w:footnoteReference w:id="5"/>
      </w:r>
      <w:r>
        <w:rPr>
          <w:rFonts w:eastAsia="Arial"/>
          <w:color w:val="000000" w:themeColor="text1"/>
        </w:rPr>
        <w:t xml:space="preserve"> The </w:t>
      </w:r>
      <w:r>
        <w:rPr>
          <w:rFonts w:eastAsia="Arial"/>
          <w:i/>
          <w:color w:val="000000" w:themeColor="text1"/>
        </w:rPr>
        <w:t xml:space="preserve">Louison </w:t>
      </w:r>
      <w:r>
        <w:rPr>
          <w:rFonts w:eastAsia="Arial"/>
          <w:color w:val="000000" w:themeColor="text1"/>
        </w:rPr>
        <w:t xml:space="preserve">court went on to remand the case to the trial court for a written explanation of why it had denied the defendant’s request for remittitur, while stressing that it owed deference both to the trial court’s decision and </w:t>
      </w:r>
      <w:r>
        <w:rPr>
          <w:rFonts w:eastAsia="Arial"/>
          <w:color w:val="000000" w:themeColor="text1"/>
        </w:rPr>
        <w:lastRenderedPageBreak/>
        <w:t xml:space="preserve">to the jury’s verdict. The court commented, “In exercising this so-called double deference, </w:t>
      </w:r>
      <w:r>
        <w:rPr>
          <w:rFonts w:eastAsia="Arial"/>
          <w:i/>
          <w:color w:val="000000" w:themeColor="text1"/>
        </w:rPr>
        <w:t>i.e.</w:t>
      </w:r>
      <w:r>
        <w:rPr>
          <w:rFonts w:eastAsia="Arial"/>
          <w:color w:val="000000" w:themeColor="text1"/>
        </w:rPr>
        <w:t>, deference to both jury and trial court, this court has been so reluctant to reverse a trial court</w:t>
      </w:r>
      <w:r w:rsidR="00057005">
        <w:rPr>
          <w:rFonts w:eastAsia="Arial"/>
          <w:color w:val="000000" w:themeColor="text1"/>
        </w:rPr>
        <w:t>’</w:t>
      </w:r>
      <w:r>
        <w:rPr>
          <w:rFonts w:eastAsia="Arial"/>
          <w:color w:val="000000" w:themeColor="text1"/>
        </w:rPr>
        <w:t xml:space="preserve">s denial of a motion for remittitur or new trial that we have yet to do so.” </w:t>
      </w:r>
      <w:r>
        <w:rPr>
          <w:rFonts w:eastAsia="Arial"/>
          <w:i/>
          <w:color w:val="000000" w:themeColor="text1"/>
        </w:rPr>
        <w:t xml:space="preserve">Id., </w:t>
      </w:r>
      <w:r>
        <w:rPr>
          <w:rFonts w:eastAsia="Arial"/>
          <w:color w:val="000000" w:themeColor="text1"/>
        </w:rPr>
        <w:t>546 A.2d at 404.</w:t>
      </w:r>
    </w:p>
    <w:p w:rsidR="001D3598" w:rsidRDefault="001D3598" w:rsidP="001D3598">
      <w:pPr>
        <w:spacing w:before="100" w:beforeAutospacing="1" w:after="100" w:afterAutospacing="1" w:line="480" w:lineRule="auto"/>
        <w:ind w:firstLine="720"/>
        <w:contextualSpacing/>
        <w:rPr>
          <w:rFonts w:eastAsia="Arial"/>
          <w:color w:val="000000" w:themeColor="text1"/>
        </w:rPr>
      </w:pPr>
      <w:r>
        <w:rPr>
          <w:rFonts w:eastAsia="Times New Roman"/>
          <w:color w:val="000000" w:themeColor="text1"/>
          <w:bdr w:val="none" w:sz="0" w:space="0" w:color="auto" w:frame="1"/>
          <w:shd w:val="clear" w:color="auto" w:fill="FFFFFF"/>
        </w:rPr>
        <w:t>Georgetown cites a case from New Jersey as comparable to this one and thus supporting its position. (</w:t>
      </w:r>
      <w:r w:rsidR="00E161DC">
        <w:rPr>
          <w:rFonts w:eastAsia="Times New Roman"/>
          <w:color w:val="000000" w:themeColor="text1"/>
          <w:bdr w:val="none" w:sz="0" w:space="0" w:color="auto" w:frame="1"/>
          <w:shd w:val="clear" w:color="auto" w:fill="FFFFFF"/>
        </w:rPr>
        <w:t>Def.</w:t>
      </w:r>
      <w:r>
        <w:rPr>
          <w:rFonts w:eastAsia="Times New Roman"/>
          <w:color w:val="000000" w:themeColor="text1"/>
          <w:bdr w:val="none" w:sz="0" w:space="0" w:color="auto" w:frame="1"/>
          <w:shd w:val="clear" w:color="auto" w:fill="FFFFFF"/>
        </w:rPr>
        <w:t xml:space="preserve"> </w:t>
      </w:r>
      <w:r w:rsidR="00E161DC">
        <w:rPr>
          <w:rFonts w:eastAsia="Times New Roman"/>
          <w:color w:val="000000" w:themeColor="text1"/>
          <w:bdr w:val="none" w:sz="0" w:space="0" w:color="auto" w:frame="1"/>
          <w:shd w:val="clear" w:color="auto" w:fill="FFFFFF"/>
        </w:rPr>
        <w:t>B</w:t>
      </w:r>
      <w:r>
        <w:rPr>
          <w:rFonts w:eastAsia="Times New Roman"/>
          <w:color w:val="000000" w:themeColor="text1"/>
          <w:bdr w:val="none" w:sz="0" w:space="0" w:color="auto" w:frame="1"/>
          <w:shd w:val="clear" w:color="auto" w:fill="FFFFFF"/>
        </w:rPr>
        <w:t xml:space="preserve">rief at p. 10.) Ironically, the New Jersey Supreme Court made it very clear in its recent decision of </w:t>
      </w:r>
      <w:r>
        <w:rPr>
          <w:rFonts w:eastAsia="Times New Roman"/>
          <w:i/>
          <w:color w:val="000000" w:themeColor="text1"/>
          <w:bdr w:val="none" w:sz="0" w:space="0" w:color="auto" w:frame="1"/>
          <w:shd w:val="clear" w:color="auto" w:fill="FFFFFF"/>
        </w:rPr>
        <w:t xml:space="preserve">Cuevas v. Wentworth Group, </w:t>
      </w:r>
      <w:r>
        <w:rPr>
          <w:rFonts w:eastAsia="Arial"/>
          <w:color w:val="000000" w:themeColor="text1"/>
        </w:rPr>
        <w:t xml:space="preserve">226 N.J. 480, 144 A.3d 890 (2016), that verdict comparison is the wrong approach in deciding a remittitur issue. </w:t>
      </w:r>
      <w:r>
        <w:rPr>
          <w:rFonts w:eastAsia="Times New Roman"/>
          <w:color w:val="000000" w:themeColor="text1"/>
          <w:bdr w:val="none" w:sz="0" w:space="0" w:color="auto" w:frame="1"/>
          <w:shd w:val="clear" w:color="auto" w:fill="FFFFFF"/>
        </w:rPr>
        <w:t>The Court said:</w:t>
      </w:r>
      <w:r>
        <w:rPr>
          <w:rFonts w:eastAsia="Arial"/>
          <w:color w:val="000000" w:themeColor="text1"/>
        </w:rPr>
        <w:t xml:space="preserve">  </w:t>
      </w:r>
    </w:p>
    <w:p w:rsidR="001D3598" w:rsidRDefault="001D3598" w:rsidP="001D3598">
      <w:pPr>
        <w:pStyle w:val="FootnoteText"/>
        <w:ind w:left="720"/>
        <w:rPr>
          <w:rFonts w:eastAsia="Arial"/>
          <w:color w:val="000000" w:themeColor="text1"/>
        </w:rPr>
      </w:pPr>
      <w:r>
        <w:rPr>
          <w:rFonts w:eastAsia="Arial"/>
          <w:color w:val="000000" w:themeColor="text1"/>
        </w:rPr>
        <w:t xml:space="preserve">We do not believe that having our trial courts review snippets of information about cases that are not truly comparable is a worthwhile use of judicial resources or likely to bring greater justice to either plaintiffs or defendants. We therefore disapprove of the comparative-case analysis in deciding remittitur motions. </w:t>
      </w:r>
    </w:p>
    <w:p w:rsidR="001D3598" w:rsidRDefault="009654C5" w:rsidP="001D3598">
      <w:pPr>
        <w:spacing w:before="100" w:beforeAutospacing="1" w:after="100" w:afterAutospacing="1" w:line="480" w:lineRule="auto"/>
        <w:contextualSpacing/>
        <w:rPr>
          <w:rFonts w:eastAsia="Arial"/>
          <w:color w:val="000000" w:themeColor="text1"/>
        </w:rPr>
      </w:pPr>
      <w:r>
        <w:rPr>
          <w:rFonts w:eastAsia="Arial"/>
          <w:color w:val="000000" w:themeColor="text1"/>
        </w:rPr>
        <w:t xml:space="preserve">Id., 144 A.3d at 906-907. </w:t>
      </w:r>
      <w:r w:rsidR="001D3598">
        <w:rPr>
          <w:rFonts w:eastAsia="Times New Roman"/>
          <w:color w:val="000000" w:themeColor="text1"/>
          <w:bdr w:val="none" w:sz="0" w:space="0" w:color="auto" w:frame="1"/>
          <w:shd w:val="clear" w:color="auto" w:fill="FFFFFF"/>
        </w:rPr>
        <w:t xml:space="preserve">The Court stressed the need to focus on the facts of the case at issue, as opposed to verdicts in other cases, and </w:t>
      </w:r>
      <w:r w:rsidR="001D3598">
        <w:rPr>
          <w:color w:val="000000" w:themeColor="text1"/>
        </w:rPr>
        <w:t xml:space="preserve">concluded:  </w:t>
      </w:r>
    </w:p>
    <w:p w:rsidR="001D3598" w:rsidRDefault="001D3598" w:rsidP="001D3598">
      <w:pPr>
        <w:spacing w:before="100" w:beforeAutospacing="1" w:after="100" w:afterAutospacing="1"/>
        <w:ind w:left="720"/>
        <w:contextualSpacing/>
        <w:rPr>
          <w:rFonts w:eastAsia="Arial"/>
          <w:color w:val="000000" w:themeColor="text1"/>
        </w:rPr>
      </w:pPr>
      <w:r>
        <w:rPr>
          <w:rFonts w:eastAsia="Arial"/>
          <w:color w:val="000000" w:themeColor="text1"/>
        </w:rPr>
        <w:t>In the end, a thorough analysis of the case itself; of the witnesses</w:t>
      </w:r>
      <w:r w:rsidR="002223D7">
        <w:rPr>
          <w:rFonts w:eastAsia="Arial"/>
          <w:color w:val="000000" w:themeColor="text1"/>
        </w:rPr>
        <w:t>'</w:t>
      </w:r>
      <w:r>
        <w:rPr>
          <w:rFonts w:eastAsia="Arial"/>
          <w:color w:val="000000" w:themeColor="text1"/>
        </w:rPr>
        <w:t xml:space="preserve"> testimony; of the nature, extent, and duration of the plaintiff's injuries; and of the impact of those injuries on the plaintiff's life will yield the best record on which to decide a remittitur motion. </w:t>
      </w:r>
    </w:p>
    <w:p w:rsidR="001D3598" w:rsidRDefault="001D3598" w:rsidP="001D3598">
      <w:pPr>
        <w:spacing w:before="100" w:beforeAutospacing="1" w:after="100" w:afterAutospacing="1"/>
        <w:ind w:left="360" w:firstLine="360"/>
        <w:contextualSpacing/>
        <w:rPr>
          <w:rFonts w:eastAsia="Arial"/>
          <w:color w:val="000000" w:themeColor="text1"/>
        </w:rPr>
      </w:pPr>
    </w:p>
    <w:p w:rsidR="001D3598" w:rsidRDefault="001D3598" w:rsidP="001D3598">
      <w:pPr>
        <w:spacing w:before="100" w:beforeAutospacing="1" w:after="100" w:afterAutospacing="1" w:line="480" w:lineRule="auto"/>
        <w:contextualSpacing/>
        <w:rPr>
          <w:rFonts w:eastAsia="Arial"/>
          <w:color w:val="000000" w:themeColor="text1"/>
        </w:rPr>
      </w:pPr>
      <w:r>
        <w:rPr>
          <w:rFonts w:eastAsia="Arial"/>
          <w:color w:val="000000" w:themeColor="text1"/>
        </w:rPr>
        <w:t>Id., 144 A.3d at 907.</w:t>
      </w:r>
    </w:p>
    <w:p w:rsidR="001D3598" w:rsidRDefault="001D3598" w:rsidP="001D3598">
      <w:pPr>
        <w:spacing w:line="480" w:lineRule="auto"/>
        <w:ind w:firstLine="720"/>
        <w:rPr>
          <w:rFonts w:eastAsia="Arial"/>
          <w:color w:val="000000" w:themeColor="text1"/>
        </w:rPr>
      </w:pPr>
      <w:r>
        <w:rPr>
          <w:rFonts w:eastAsia="Arial"/>
          <w:color w:val="000000" w:themeColor="text1"/>
        </w:rPr>
        <w:t xml:space="preserve">Just such a trial court’s analysis of the evidence was praised by the D.C. Court of Appeals in </w:t>
      </w:r>
      <w:r>
        <w:rPr>
          <w:rFonts w:eastAsia="Arial"/>
          <w:i/>
          <w:color w:val="000000" w:themeColor="text1"/>
        </w:rPr>
        <w:t xml:space="preserve">WMATA v. Jeanty, </w:t>
      </w:r>
      <w:r>
        <w:rPr>
          <w:rFonts w:eastAsia="Arial"/>
          <w:color w:val="000000" w:themeColor="text1"/>
        </w:rPr>
        <w:t>718 A.2d 172, 180 n. 14 (D.C. 1998). The appellate court quoted at length from Judge Weisberg’s decision refusing to reduce the verdict, in which he wrote that the verdict for the plaintiff’s pain and suffering was “much higher than the court would have predicted based on the evidence, but not so high as to shock the court</w:t>
      </w:r>
      <w:r w:rsidR="002223D7">
        <w:rPr>
          <w:rFonts w:eastAsia="Arial"/>
          <w:color w:val="000000" w:themeColor="text1"/>
        </w:rPr>
        <w:t>’</w:t>
      </w:r>
      <w:r>
        <w:rPr>
          <w:rFonts w:eastAsia="Arial"/>
          <w:color w:val="000000" w:themeColor="text1"/>
        </w:rPr>
        <w:t xml:space="preserve">s conscience …” The trial court went on to describe details of the plaintiff’s “painful and debilitating” shoulder injury and concluded, “The award, while substantial, represents a permissible exercise of the authority our system gives to jurors to arrive at an amount which, in their collective and unanimous judgment, will fairly </w:t>
      </w:r>
      <w:r>
        <w:rPr>
          <w:rFonts w:eastAsia="Arial"/>
          <w:color w:val="000000" w:themeColor="text1"/>
        </w:rPr>
        <w:lastRenderedPageBreak/>
        <w:t xml:space="preserve">and reasonably compensate a person injured by the negligence of another not only for so-called </w:t>
      </w:r>
      <w:r w:rsidR="002223D7">
        <w:rPr>
          <w:rFonts w:eastAsia="Arial"/>
          <w:color w:val="000000" w:themeColor="text1"/>
        </w:rPr>
        <w:t>“</w:t>
      </w:r>
      <w:r>
        <w:rPr>
          <w:rFonts w:eastAsia="Arial"/>
          <w:color w:val="000000" w:themeColor="text1"/>
        </w:rPr>
        <w:t>special damages,</w:t>
      </w:r>
      <w:r w:rsidR="002223D7">
        <w:rPr>
          <w:rFonts w:eastAsia="Arial"/>
          <w:color w:val="000000" w:themeColor="text1"/>
        </w:rPr>
        <w:t>”</w:t>
      </w:r>
      <w:r>
        <w:rPr>
          <w:rFonts w:eastAsia="Arial"/>
          <w:color w:val="000000" w:themeColor="text1"/>
        </w:rPr>
        <w:t xml:space="preserve"> but also for the more intangible elements of damages, including pain, suffering, inconvenience, disability and the like. The court is not empowered to deprive plaintiff of her verdict simply because it may think the jury should have awarded a lower amount.”  At the end of this quotation of the trial court’s reasoning, the appellate court concluded: “We believe that the judge addressed the issue of damages candidly and in a balanced manner, and we discern no error of law.” </w:t>
      </w:r>
      <w:r w:rsidRPr="003E3EBC">
        <w:rPr>
          <w:rFonts w:eastAsia="Arial"/>
          <w:i/>
          <w:color w:val="000000" w:themeColor="text1"/>
        </w:rPr>
        <w:t>Id</w:t>
      </w:r>
      <w:r>
        <w:rPr>
          <w:rFonts w:eastAsia="Arial"/>
          <w:color w:val="000000" w:themeColor="text1"/>
        </w:rPr>
        <w:t>. at 180 n.14.</w:t>
      </w:r>
    </w:p>
    <w:p w:rsidR="001D3598" w:rsidRDefault="001D3598" w:rsidP="001D3598">
      <w:pPr>
        <w:spacing w:line="480" w:lineRule="auto"/>
        <w:ind w:firstLine="720"/>
        <w:rPr>
          <w:rFonts w:eastAsia="Arial"/>
          <w:color w:val="000000" w:themeColor="text1"/>
        </w:rPr>
      </w:pPr>
      <w:r>
        <w:rPr>
          <w:rFonts w:eastAsia="Arial"/>
          <w:color w:val="000000" w:themeColor="text1"/>
        </w:rPr>
        <w:t>For its part, the D.C. Court of Appeals has not categorically ruled out a comparative verdict analysis in the way New Jersey’s highest court has. Nonetheless, a review of D.C. cases shows that the comparative verdict approach has NEVER, to our knowledge, persuaded the Court of Appeals to reduce a verdict for alleged excessiveness.</w:t>
      </w:r>
      <w:r w:rsidR="0046577F">
        <w:rPr>
          <w:rFonts w:eastAsia="Arial"/>
          <w:color w:val="000000" w:themeColor="text1"/>
        </w:rPr>
        <w:t xml:space="preserve"> And as discussed below, the only appellate case in which a trial court used a verdict comparison to justify its decision on a motion to remit</w:t>
      </w:r>
      <w:r w:rsidR="00335173">
        <w:rPr>
          <w:rFonts w:eastAsia="Arial"/>
          <w:color w:val="000000" w:themeColor="text1"/>
        </w:rPr>
        <w:t xml:space="preserve">, </w:t>
      </w:r>
      <w:r w:rsidR="00335173" w:rsidRPr="00335173">
        <w:rPr>
          <w:rFonts w:eastAsia="Arial"/>
          <w:i/>
          <w:color w:val="000000" w:themeColor="text1"/>
        </w:rPr>
        <w:t>May</w:t>
      </w:r>
      <w:r w:rsidR="0046577F" w:rsidRPr="0046650F">
        <w:rPr>
          <w:rFonts w:eastAsia="Arial"/>
          <w:i/>
          <w:color w:val="000000"/>
        </w:rPr>
        <w:t xml:space="preserve"> Dep't Stores v. Deverc</w:t>
      </w:r>
      <w:r w:rsidR="0046577F" w:rsidRPr="0046650F">
        <w:rPr>
          <w:rFonts w:eastAsia="Arial"/>
          <w:i/>
        </w:rPr>
        <w:t>elli,</w:t>
      </w:r>
      <w:r w:rsidR="0046577F" w:rsidRPr="003E3EBC">
        <w:rPr>
          <w:rFonts w:eastAsia="Arial"/>
        </w:rPr>
        <w:t xml:space="preserve"> 314 A.2d 767 (D.C. </w:t>
      </w:r>
      <w:r w:rsidR="0046577F" w:rsidRPr="00337874">
        <w:rPr>
          <w:rFonts w:eastAsia="Arial"/>
        </w:rPr>
        <w:t>1973)</w:t>
      </w:r>
      <w:r w:rsidR="0046577F">
        <w:rPr>
          <w:rFonts w:eastAsia="Arial"/>
        </w:rPr>
        <w:t>,</w:t>
      </w:r>
      <w:r w:rsidR="0046577F" w:rsidRPr="0046650F">
        <w:rPr>
          <w:rFonts w:eastAsia="Arial"/>
        </w:rPr>
        <w:t xml:space="preserve"> </w:t>
      </w:r>
      <w:r w:rsidR="0046577F">
        <w:rPr>
          <w:rFonts w:eastAsia="Arial"/>
          <w:color w:val="000000" w:themeColor="text1"/>
        </w:rPr>
        <w:t xml:space="preserve">actually prompted the Court of Appeals to reverse and direct the trial court to focus not on verdict comparisons but on the facts of the injury before it. </w:t>
      </w:r>
    </w:p>
    <w:p w:rsidR="001D3598" w:rsidRDefault="001D3598" w:rsidP="001D3598">
      <w:pPr>
        <w:spacing w:line="480" w:lineRule="auto"/>
        <w:ind w:firstLine="720"/>
        <w:rPr>
          <w:color w:val="000000" w:themeColor="text1"/>
        </w:rPr>
      </w:pPr>
      <w:r>
        <w:rPr>
          <w:rFonts w:eastAsia="Arial"/>
          <w:color w:val="000000" w:themeColor="text1"/>
        </w:rPr>
        <w:t xml:space="preserve">For example, in the case quoted by Georgetown to the effect that comparison to other awards “may be helpful,” </w:t>
      </w:r>
      <w:r>
        <w:rPr>
          <w:i/>
          <w:color w:val="000000" w:themeColor="text1"/>
        </w:rPr>
        <w:t>District of Columbia v. Hawkins,</w:t>
      </w:r>
      <w:r>
        <w:rPr>
          <w:color w:val="000000" w:themeColor="text1"/>
        </w:rPr>
        <w:t xml:space="preserve"> 782 A.2d 293 (D.C. 2001), the Court of Appeals rejected the D.C. government’s argument that the verdict for the decedents’ pain and suffering for a period of two to five minutes should be reduced proportionally to a time-of-suffering amount approved in another case. Immediately after describing the District’s argument, the Court observed: </w:t>
      </w:r>
    </w:p>
    <w:p w:rsidR="001D3598" w:rsidRDefault="001D3598" w:rsidP="00986701">
      <w:pPr>
        <w:ind w:left="720"/>
        <w:contextualSpacing/>
        <w:rPr>
          <w:rFonts w:eastAsia="Arial"/>
        </w:rPr>
      </w:pPr>
      <w:r>
        <w:rPr>
          <w:rFonts w:eastAsia="Arial"/>
          <w:color w:val="000000"/>
        </w:rPr>
        <w:t xml:space="preserve">While reference to other awards may be helpful, in the end </w:t>
      </w:r>
      <w:r w:rsidR="003E3EBC">
        <w:rPr>
          <w:rFonts w:eastAsia="Arial"/>
          <w:color w:val="000000"/>
        </w:rPr>
        <w:t>“</w:t>
      </w:r>
      <w:r>
        <w:rPr>
          <w:rFonts w:eastAsia="Arial"/>
          <w:color w:val="000000"/>
        </w:rPr>
        <w:t>excessive verdicts should not be measured strictly on a comparative basis.</w:t>
      </w:r>
      <w:r w:rsidR="003E3EBC">
        <w:rPr>
          <w:rFonts w:eastAsia="Arial"/>
          <w:color w:val="000000"/>
        </w:rPr>
        <w:t>”</w:t>
      </w:r>
      <w:r>
        <w:rPr>
          <w:rFonts w:eastAsia="Arial"/>
          <w:color w:val="000000"/>
        </w:rPr>
        <w:t xml:space="preserve"> </w:t>
      </w:r>
      <w:bookmarkStart w:id="3" w:name="Bookmark_I4F96BB20K1MND0JK0000400_21"/>
      <w:bookmarkEnd w:id="3"/>
      <w:r>
        <w:rPr>
          <w:rFonts w:eastAsia="Arial"/>
          <w:i/>
          <w:color w:val="000000"/>
        </w:rPr>
        <w:t>Capitol Hill Hosp., supra, 532 A.2d at 93</w:t>
      </w:r>
      <w:r>
        <w:rPr>
          <w:rFonts w:eastAsia="Arial"/>
          <w:color w:val="000000"/>
        </w:rPr>
        <w:t xml:space="preserve">. </w:t>
      </w:r>
      <w:bookmarkStart w:id="4" w:name="Bookmark_I4F96BB20K1MND0JS0000400_21"/>
      <w:bookmarkEnd w:id="4"/>
      <w:r>
        <w:rPr>
          <w:rFonts w:eastAsia="Arial"/>
          <w:color w:val="000000"/>
        </w:rPr>
        <w:t xml:space="preserve">The trial court must determine whether </w:t>
      </w:r>
      <w:r w:rsidR="003E3EBC">
        <w:rPr>
          <w:rFonts w:eastAsia="Arial"/>
          <w:color w:val="000000"/>
        </w:rPr>
        <w:t>“</w:t>
      </w:r>
      <w:r>
        <w:rPr>
          <w:rFonts w:eastAsia="Arial"/>
          <w:color w:val="000000"/>
        </w:rPr>
        <w:t>on the totality of facts before it whether [the damage award] was the result of passion, prejudice, or mistake.</w:t>
      </w:r>
      <w:r w:rsidR="003E3EBC">
        <w:rPr>
          <w:rFonts w:eastAsia="Arial"/>
          <w:color w:val="000000"/>
        </w:rPr>
        <w:t>”</w:t>
      </w:r>
      <w:r>
        <w:rPr>
          <w:rFonts w:eastAsia="Arial"/>
          <w:color w:val="000000"/>
        </w:rPr>
        <w:t xml:space="preserve"> </w:t>
      </w:r>
      <w:r>
        <w:rPr>
          <w:rFonts w:eastAsia="Arial"/>
          <w:i/>
          <w:color w:val="000000"/>
        </w:rPr>
        <w:t>Id</w:t>
      </w:r>
      <w:r>
        <w:rPr>
          <w:rFonts w:eastAsia="Arial"/>
          <w:color w:val="000000"/>
        </w:rPr>
        <w:t xml:space="preserve">. (quoting </w:t>
      </w:r>
      <w:bookmarkStart w:id="5" w:name="Bookmark_I4F96BB20K1MND0JN0000400_21"/>
      <w:bookmarkEnd w:id="5"/>
      <w:r w:rsidRPr="0046650F">
        <w:rPr>
          <w:rFonts w:eastAsia="Arial"/>
          <w:i/>
          <w:color w:val="000000"/>
        </w:rPr>
        <w:t xml:space="preserve">May Dep't </w:t>
      </w:r>
      <w:r w:rsidRPr="0046650F">
        <w:rPr>
          <w:rFonts w:eastAsia="Arial"/>
          <w:i/>
          <w:color w:val="000000"/>
        </w:rPr>
        <w:lastRenderedPageBreak/>
        <w:t>Stores v. Deverc</w:t>
      </w:r>
      <w:r w:rsidRPr="0046650F">
        <w:rPr>
          <w:rFonts w:eastAsia="Arial"/>
          <w:i/>
        </w:rPr>
        <w:t>elli,</w:t>
      </w:r>
      <w:r w:rsidRPr="003E3EBC">
        <w:rPr>
          <w:rFonts w:eastAsia="Arial"/>
        </w:rPr>
        <w:t xml:space="preserve"> 314 A.2d 767, 775 (D.C. </w:t>
      </w:r>
      <w:r w:rsidRPr="00337874">
        <w:rPr>
          <w:rFonts w:eastAsia="Arial"/>
        </w:rPr>
        <w:t>1973)).</w:t>
      </w:r>
      <w:r w:rsidRPr="0046650F">
        <w:rPr>
          <w:rFonts w:eastAsia="Arial"/>
        </w:rPr>
        <w:t xml:space="preserve"> </w:t>
      </w:r>
      <w:bookmarkStart w:id="6" w:name="Bookmark_I4F96BB20K1MND0JS0000400"/>
      <w:bookmarkEnd w:id="6"/>
      <w:r w:rsidRPr="0046650F">
        <w:rPr>
          <w:rFonts w:eastAsia="Arial"/>
        </w:rPr>
        <w:t>W</w:t>
      </w:r>
      <w:r>
        <w:rPr>
          <w:rFonts w:eastAsia="Arial"/>
          <w:color w:val="000000"/>
        </w:rPr>
        <w:t xml:space="preserve">hen we determine whether the standard has been met for an excessive verdict, we must examine the extent and nature of the damages proved by the evidence. </w:t>
      </w:r>
      <w:r>
        <w:rPr>
          <w:rFonts w:eastAsia="Arial"/>
          <w:i/>
          <w:color w:val="000000"/>
        </w:rPr>
        <w:t xml:space="preserve">See </w:t>
      </w:r>
      <w:bookmarkStart w:id="7" w:name="Bookmark_I4F96BB20K1MND0JR0000400"/>
      <w:bookmarkEnd w:id="7"/>
      <w:r w:rsidRPr="0046650F">
        <w:rPr>
          <w:rFonts w:eastAsia="Arial"/>
          <w:i/>
          <w:color w:val="000000"/>
        </w:rPr>
        <w:t>Weinberg v. Johnson</w:t>
      </w:r>
      <w:hyperlink r:id="rId12" w:history="1">
        <w:r w:rsidRPr="00ED4C5C">
          <w:rPr>
            <w:rStyle w:val="Hyperlink"/>
            <w:rFonts w:eastAsia="Arial"/>
            <w:color w:val="auto"/>
            <w:u w:val="none"/>
          </w:rPr>
          <w:t>, 518 A.2d 985, 994 (D.C. 1986)</w:t>
        </w:r>
      </w:hyperlink>
      <w:r w:rsidRPr="00ED4C5C">
        <w:rPr>
          <w:rFonts w:eastAsia="Arial"/>
        </w:rPr>
        <w:t>.</w:t>
      </w:r>
    </w:p>
    <w:p w:rsidR="00986701" w:rsidRPr="00986701" w:rsidRDefault="00986701" w:rsidP="00986701">
      <w:pPr>
        <w:ind w:left="720"/>
        <w:contextualSpacing/>
        <w:rPr>
          <w:rFonts w:eastAsia="Arial"/>
        </w:rPr>
      </w:pPr>
    </w:p>
    <w:p w:rsidR="00986701" w:rsidRDefault="00986701" w:rsidP="00986701">
      <w:pPr>
        <w:spacing w:line="480" w:lineRule="auto"/>
        <w:jc w:val="both"/>
        <w:rPr>
          <w:color w:val="000000" w:themeColor="text1"/>
        </w:rPr>
      </w:pPr>
      <w:r>
        <w:rPr>
          <w:i/>
          <w:color w:val="000000" w:themeColor="text1"/>
        </w:rPr>
        <w:t xml:space="preserve">Id. </w:t>
      </w:r>
      <w:r>
        <w:rPr>
          <w:color w:val="000000" w:themeColor="text1"/>
        </w:rPr>
        <w:t>at 305.</w:t>
      </w:r>
      <w:r w:rsidR="001D3598">
        <w:rPr>
          <w:color w:val="000000" w:themeColor="text1"/>
        </w:rPr>
        <w:t xml:space="preserve">  </w:t>
      </w:r>
    </w:p>
    <w:p w:rsidR="001D3598" w:rsidRPr="00986701" w:rsidRDefault="001D3598" w:rsidP="00986701">
      <w:pPr>
        <w:spacing w:line="480" w:lineRule="auto"/>
        <w:ind w:firstLine="720"/>
        <w:jc w:val="both"/>
        <w:rPr>
          <w:color w:val="000000" w:themeColor="text1"/>
        </w:rPr>
      </w:pPr>
      <w:r>
        <w:rPr>
          <w:color w:val="000000" w:themeColor="text1"/>
        </w:rPr>
        <w:t>The Court went on to describe the evidence from an expert and from an eyewitness at the scene about the amount and nature of the decedents’ suffering at issue, and concluded that the trial court had not abused its discretion in not further reducing the pain-and-suffering verdict beyond what the trial court had done.</w:t>
      </w:r>
      <w:r w:rsidR="00986701">
        <w:rPr>
          <w:color w:val="000000" w:themeColor="text1"/>
        </w:rPr>
        <w:t xml:space="preserve"> </w:t>
      </w:r>
      <w:r w:rsidR="00986701">
        <w:rPr>
          <w:i/>
          <w:color w:val="000000" w:themeColor="text1"/>
        </w:rPr>
        <w:t>Id.</w:t>
      </w:r>
    </w:p>
    <w:p w:rsidR="0046577F" w:rsidRDefault="001D3598" w:rsidP="009945CE">
      <w:pPr>
        <w:pStyle w:val="FootnoteText"/>
        <w:spacing w:line="480" w:lineRule="auto"/>
      </w:pPr>
      <w:r>
        <w:rPr>
          <w:color w:val="000000" w:themeColor="text1"/>
        </w:rPr>
        <w:tab/>
        <w:t xml:space="preserve">The other case cited by Georgetown, </w:t>
      </w:r>
      <w:r>
        <w:rPr>
          <w:i/>
          <w:color w:val="000000" w:themeColor="text1"/>
        </w:rPr>
        <w:t xml:space="preserve">Capitol Hill Hospital v. Jones, </w:t>
      </w:r>
      <w:r>
        <w:rPr>
          <w:color w:val="000000" w:themeColor="text1"/>
        </w:rPr>
        <w:t>532 A.2d 89 (D.C. 1987), also rejected comparisons to other verdicts as decisive in any remittitur analysis.  That court affirmed a trial court’s refusal to reduce a pain and suffering verdict and said: “</w:t>
      </w:r>
      <w:r>
        <w:rPr>
          <w:color w:val="000000" w:themeColor="text1"/>
          <w:bdr w:val="none" w:sz="0" w:space="0" w:color="auto" w:frame="1"/>
        </w:rPr>
        <w:t>While the parties cite cases granting both higher or lower amounts for pain and suffering to bolster their contentions about this verdict,</w:t>
      </w:r>
      <w:r>
        <w:rPr>
          <w:color w:val="000000" w:themeColor="text1"/>
        </w:rPr>
        <w:t xml:space="preserve"> </w:t>
      </w:r>
      <w:r>
        <w:rPr>
          <w:rFonts w:eastAsia="Times New Roman"/>
          <w:i/>
          <w:color w:val="000000" w:themeColor="text1"/>
          <w:bdr w:val="none" w:sz="0" w:space="0" w:color="auto" w:frame="1"/>
          <w:shd w:val="clear" w:color="auto" w:fill="FFFFFF"/>
        </w:rPr>
        <w:t>we have said that excessive verdicts should not be measured strictly on a comparative basis. </w:t>
      </w:r>
      <w:r>
        <w:rPr>
          <w:rFonts w:eastAsia="Times New Roman"/>
          <w:color w:val="000000" w:themeColor="text1"/>
          <w:bdr w:val="none" w:sz="0" w:space="0" w:color="auto" w:frame="1"/>
          <w:shd w:val="clear" w:color="auto" w:fill="FFFFFF"/>
        </w:rPr>
        <w:t>Rather:</w:t>
      </w:r>
      <w:r>
        <w:rPr>
          <w:rFonts w:eastAsia="Times New Roman"/>
          <w:color w:val="000000" w:themeColor="text1"/>
          <w:shd w:val="clear" w:color="auto" w:fill="FFFFFF"/>
        </w:rPr>
        <w:t> </w:t>
      </w:r>
      <w:r>
        <w:rPr>
          <w:rFonts w:eastAsia="Times New Roman"/>
          <w:bCs/>
          <w:color w:val="000000" w:themeColor="text1"/>
          <w:bdr w:val="none" w:sz="0" w:space="0" w:color="auto" w:frame="1"/>
          <w:shd w:val="clear" w:color="auto" w:fill="FFFFFF"/>
        </w:rPr>
        <w:t>‘Each case in this area necessarily rises or falls on its own facts and the trial court in ruling on the question of whether or not a jury verdict is excessive must determine on the totality of facts before it whether it was the result of passion, prejudice, or mistake.’</w:t>
      </w:r>
      <w:r>
        <w:rPr>
          <w:rFonts w:eastAsia="Times New Roman"/>
          <w:bCs/>
          <w:i/>
          <w:iCs/>
          <w:color w:val="000000" w:themeColor="text1"/>
          <w:bdr w:val="none" w:sz="0" w:space="0" w:color="auto" w:frame="1"/>
          <w:shd w:val="clear" w:color="auto" w:fill="FFFFFF"/>
        </w:rPr>
        <w:t> </w:t>
      </w:r>
      <w:hyperlink r:id="rId13" w:history="1">
        <w:r w:rsidRPr="00DE6746">
          <w:rPr>
            <w:rStyle w:val="Hyperlink"/>
            <w:rFonts w:eastAsia="Times New Roman"/>
            <w:i/>
            <w:iCs/>
            <w:color w:val="000000" w:themeColor="text1"/>
            <w:u w:val="none"/>
            <w:bdr w:val="none" w:sz="0" w:space="0" w:color="auto" w:frame="1"/>
            <w:shd w:val="clear" w:color="auto" w:fill="FFFFFF"/>
          </w:rPr>
          <w:t>May Department Stores v. Devercelli</w:t>
        </w:r>
        <w:r w:rsidRPr="00DE6746">
          <w:rPr>
            <w:rStyle w:val="Hyperlink"/>
            <w:rFonts w:eastAsia="Times New Roman"/>
            <w:color w:val="000000" w:themeColor="text1"/>
            <w:u w:val="none"/>
            <w:bdr w:val="none" w:sz="0" w:space="0" w:color="auto" w:frame="1"/>
            <w:shd w:val="clear" w:color="auto" w:fill="FFFFFF"/>
          </w:rPr>
          <w:t>, 314 A.2d 767, 775 (D.C. 1973)</w:t>
        </w:r>
      </w:hyperlink>
      <w:r>
        <w:rPr>
          <w:rFonts w:eastAsia="Times New Roman"/>
          <w:color w:val="000000" w:themeColor="text1"/>
          <w:bdr w:val="none" w:sz="0" w:space="0" w:color="auto" w:frame="1"/>
          <w:shd w:val="clear" w:color="auto" w:fill="FFFFFF"/>
        </w:rPr>
        <w:t xml:space="preserve">.” </w:t>
      </w:r>
      <w:r w:rsidR="00EC0315">
        <w:rPr>
          <w:rFonts w:eastAsia="Times New Roman"/>
          <w:i/>
          <w:color w:val="000000" w:themeColor="text1"/>
          <w:bdr w:val="none" w:sz="0" w:space="0" w:color="auto" w:frame="1"/>
          <w:shd w:val="clear" w:color="auto" w:fill="FFFFFF"/>
        </w:rPr>
        <w:t>Jones</w:t>
      </w:r>
      <w:r w:rsidR="00EC0315">
        <w:rPr>
          <w:rFonts w:eastAsia="Times New Roman"/>
          <w:color w:val="000000" w:themeColor="text1"/>
          <w:bdr w:val="none" w:sz="0" w:space="0" w:color="auto" w:frame="1"/>
          <w:shd w:val="clear" w:color="auto" w:fill="FFFFFF"/>
        </w:rPr>
        <w:t xml:space="preserve">, 532 A.2d at 93. </w:t>
      </w:r>
      <w:r>
        <w:rPr>
          <w:rFonts w:eastAsia="Times New Roman"/>
          <w:color w:val="000000" w:themeColor="text1"/>
          <w:bdr w:val="none" w:sz="0" w:space="0" w:color="auto" w:frame="1"/>
          <w:shd w:val="clear" w:color="auto" w:fill="FFFFFF"/>
        </w:rPr>
        <w:t xml:space="preserve">(Emphasis added.) </w:t>
      </w:r>
      <w:r w:rsidR="0046577F">
        <w:t xml:space="preserve">In the </w:t>
      </w:r>
      <w:r w:rsidR="0046577F">
        <w:rPr>
          <w:i/>
        </w:rPr>
        <w:t xml:space="preserve">May Dept. Stores </w:t>
      </w:r>
      <w:r w:rsidR="0046577F">
        <w:t xml:space="preserve">case, the trial court had actually used its own informal survey of other verdicts to deny a remittitur motion. The Court of Appeals remanded for reconsideration of the defendant’s motion, directing the trial court to refocus on the injury before it, and holding: </w:t>
      </w:r>
    </w:p>
    <w:p w:rsidR="0046577F" w:rsidRDefault="0046577F" w:rsidP="0046577F">
      <w:pPr>
        <w:pStyle w:val="FootnoteText"/>
        <w:ind w:left="720"/>
        <w:rPr>
          <w:rFonts w:eastAsia="Arial"/>
          <w:color w:val="000000"/>
        </w:rPr>
      </w:pPr>
      <w:r>
        <w:rPr>
          <w:rFonts w:eastAsia="Arial"/>
          <w:color w:val="000000"/>
        </w:rPr>
        <w:t xml:space="preserve">The question is whether the amount of the verdict in this case, regardless of its comparative size, was the result of passion, prejudice or mistake.  Each case in this area necessarily rises or falls on its own facts and the trial court in ruling on the question of whether or not a jury verdict is excessive must determine on the totality of facts before it whether it was the result of passion, prejudice or mistake.  </w:t>
      </w:r>
    </w:p>
    <w:p w:rsidR="0046577F" w:rsidRDefault="0046577F" w:rsidP="0046577F">
      <w:pPr>
        <w:pStyle w:val="FootnoteText"/>
      </w:pPr>
    </w:p>
    <w:p w:rsidR="001D3598" w:rsidRDefault="0046577F" w:rsidP="0046577F">
      <w:pPr>
        <w:spacing w:line="480" w:lineRule="auto"/>
        <w:rPr>
          <w:rFonts w:eastAsia="Arial"/>
          <w:color w:val="000000" w:themeColor="text1"/>
        </w:rPr>
      </w:pPr>
      <w:r>
        <w:t xml:space="preserve">314 A.2d 775. </w:t>
      </w:r>
      <w:r>
        <w:rPr>
          <w:i/>
        </w:rPr>
        <w:t xml:space="preserve"> </w:t>
      </w:r>
    </w:p>
    <w:p w:rsidR="001D3598" w:rsidRDefault="001D3598" w:rsidP="001D3598">
      <w:pPr>
        <w:spacing w:line="480" w:lineRule="auto"/>
        <w:rPr>
          <w:rFonts w:eastAsia="Arial"/>
          <w:color w:val="000000" w:themeColor="text1"/>
        </w:rPr>
      </w:pPr>
      <w:r>
        <w:rPr>
          <w:rFonts w:eastAsia="Arial"/>
          <w:color w:val="000000" w:themeColor="text1"/>
        </w:rPr>
        <w:tab/>
        <w:t xml:space="preserve">The solitary D.C. case we have found that explicitly looked at comparable verdicts to measure the reasonableness of the amount of a verdict was in the very different context of punitive damages, where the U.S. Supreme Court has directed courts to conduct such comparisons to assess the constitutionality of a punitive award. </w:t>
      </w:r>
      <w:r>
        <w:rPr>
          <w:rFonts w:eastAsia="Arial"/>
          <w:i/>
          <w:color w:val="000000" w:themeColor="text1"/>
        </w:rPr>
        <w:t xml:space="preserve">See Howard Univ. v. Wilkins, </w:t>
      </w:r>
      <w:r>
        <w:rPr>
          <w:rFonts w:eastAsia="Arial"/>
          <w:color w:val="000000" w:themeColor="text1"/>
        </w:rPr>
        <w:t xml:space="preserve">22 A.3d 774, </w:t>
      </w:r>
      <w:r w:rsidR="003A0B4E">
        <w:rPr>
          <w:rFonts w:eastAsia="Arial"/>
          <w:color w:val="000000" w:themeColor="text1"/>
        </w:rPr>
        <w:t>781</w:t>
      </w:r>
      <w:r>
        <w:rPr>
          <w:rFonts w:eastAsia="Arial"/>
          <w:color w:val="000000" w:themeColor="text1"/>
        </w:rPr>
        <w:t xml:space="preserve"> (D.C. 2011), citing </w:t>
      </w:r>
      <w:r>
        <w:rPr>
          <w:rFonts w:eastAsia="Arial"/>
          <w:i/>
          <w:color w:val="000000" w:themeColor="text1"/>
        </w:rPr>
        <w:t xml:space="preserve">State Farm Mutual Ins. Co. v. Campbell, </w:t>
      </w:r>
      <w:r w:rsidR="00B47670">
        <w:rPr>
          <w:rFonts w:eastAsia="Arial"/>
          <w:color w:val="000000" w:themeColor="text1"/>
        </w:rPr>
        <w:t xml:space="preserve">538 U.S. 408, 418 (2003). </w:t>
      </w:r>
      <w:r>
        <w:rPr>
          <w:rFonts w:eastAsia="Arial"/>
          <w:color w:val="000000" w:themeColor="text1"/>
        </w:rPr>
        <w:t xml:space="preserve">Such punitive awards, of course, focus on the defendant’s conduct, unlike compensatory damages in personal injury cases, where the jury is asked to assess the unique circumstances of an individual plaintiff’s injuries and damages. In assessing the reasonableness of compensatory damages, it is a fool’s errand to try to compare the detailed evidence of what happened to the individual plaintiff with snippets of summaries about other cases.  </w:t>
      </w:r>
    </w:p>
    <w:p w:rsidR="001D3598" w:rsidRDefault="001D3598" w:rsidP="001D3598">
      <w:pPr>
        <w:shd w:val="clear" w:color="auto" w:fill="FFFFFF"/>
        <w:rPr>
          <w:rFonts w:eastAsia="Times New Roman"/>
          <w:color w:val="000000"/>
        </w:rPr>
      </w:pPr>
    </w:p>
    <w:p w:rsidR="001D3598" w:rsidRDefault="001D3598" w:rsidP="00D1194D">
      <w:pPr>
        <w:pStyle w:val="ListParagraph"/>
        <w:numPr>
          <w:ilvl w:val="0"/>
          <w:numId w:val="31"/>
        </w:numPr>
        <w:spacing w:line="480" w:lineRule="auto"/>
        <w:rPr>
          <w:b/>
          <w:color w:val="000000" w:themeColor="text1"/>
        </w:rPr>
      </w:pPr>
      <w:r>
        <w:rPr>
          <w:b/>
          <w:color w:val="000000" w:themeColor="text1"/>
        </w:rPr>
        <w:t xml:space="preserve">The Facts Easily Justify </w:t>
      </w:r>
      <w:r w:rsidRPr="00D1194D">
        <w:rPr>
          <w:rFonts w:eastAsia="Times New Roman"/>
          <w:b/>
          <w:color w:val="000000"/>
        </w:rPr>
        <w:t>the</w:t>
      </w:r>
      <w:r>
        <w:rPr>
          <w:b/>
          <w:color w:val="000000" w:themeColor="text1"/>
        </w:rPr>
        <w:t xml:space="preserve"> Amount of the Verdict </w:t>
      </w:r>
    </w:p>
    <w:p w:rsidR="001D3598" w:rsidRDefault="001D3598" w:rsidP="001D3598">
      <w:pPr>
        <w:pStyle w:val="FootnoteText"/>
        <w:spacing w:line="480" w:lineRule="auto"/>
        <w:ind w:firstLine="720"/>
        <w:rPr>
          <w:color w:val="000000" w:themeColor="text1"/>
        </w:rPr>
      </w:pPr>
      <w:r>
        <w:rPr>
          <w:color w:val="000000" w:themeColor="text1"/>
        </w:rPr>
        <w:t>As this Court saw with its own eyes when R.G. was brought into court on the second day of trial for a brief and unobjected-to appearance, R.G. at age 5 has a significant deformity in her right ankle from the chemical burn she suffered at age two weeks in the defendant’s newborn intensive care unit. The ankle has a large scar that wraps around the inside, ba</w:t>
      </w:r>
      <w:r w:rsidR="001F5B9C">
        <w:rPr>
          <w:color w:val="000000" w:themeColor="text1"/>
        </w:rPr>
        <w:t xml:space="preserve">ck and front of her lower leg. </w:t>
      </w:r>
      <w:r>
        <w:rPr>
          <w:color w:val="000000" w:themeColor="text1"/>
        </w:rPr>
        <w:t>The ankle appears withered from the burn-out of subcutaneous fat below the skin, caused by the chemical burn. The withered appearance will grow more noticeable in her teen years, when she will have a normally developed calf just above the area of scarred ankle that will re</w:t>
      </w:r>
      <w:r w:rsidR="00BF129D">
        <w:rPr>
          <w:color w:val="000000" w:themeColor="text1"/>
        </w:rPr>
        <w:t xml:space="preserve">main without a normal fat pad. </w:t>
      </w:r>
      <w:r>
        <w:rPr>
          <w:color w:val="000000" w:themeColor="text1"/>
        </w:rPr>
        <w:t>Dr. Redett, her treating plastic surgeon at Johns Hopkins, called this a “contour deformity” and testified that there is nothing that can be done to im</w:t>
      </w:r>
      <w:r w:rsidR="00BF129D">
        <w:rPr>
          <w:color w:val="000000" w:themeColor="text1"/>
        </w:rPr>
        <w:t xml:space="preserve">prove the cosmetic appearance. </w:t>
      </w:r>
      <w:r w:rsidR="004A78C8">
        <w:rPr>
          <w:color w:val="000000" w:themeColor="text1"/>
        </w:rPr>
        <w:t>(</w:t>
      </w:r>
      <w:r w:rsidR="004A78C8">
        <w:rPr>
          <w:i/>
          <w:color w:val="000000" w:themeColor="text1"/>
        </w:rPr>
        <w:t xml:space="preserve">See </w:t>
      </w:r>
      <w:r w:rsidR="004A78C8">
        <w:rPr>
          <w:color w:val="000000" w:themeColor="text1"/>
        </w:rPr>
        <w:t xml:space="preserve">Ex. 4, Plaintiffs’ Demonstrative </w:t>
      </w:r>
      <w:r w:rsidR="00EC05CB">
        <w:rPr>
          <w:color w:val="000000" w:themeColor="text1"/>
        </w:rPr>
        <w:t xml:space="preserve">Trial </w:t>
      </w:r>
      <w:r w:rsidR="004A78C8">
        <w:rPr>
          <w:color w:val="000000" w:themeColor="text1"/>
        </w:rPr>
        <w:t xml:space="preserve">Ex. 4, showing R.G.’s leg as it </w:t>
      </w:r>
      <w:r w:rsidR="004A78C8">
        <w:rPr>
          <w:color w:val="000000" w:themeColor="text1"/>
        </w:rPr>
        <w:lastRenderedPageBreak/>
        <w:t xml:space="preserve">will likely appear when she is an adult vs. </w:t>
      </w:r>
      <w:r w:rsidR="00047DF0">
        <w:rPr>
          <w:color w:val="000000" w:themeColor="text1"/>
        </w:rPr>
        <w:t>how it now appears</w:t>
      </w:r>
      <w:r w:rsidR="008647D1">
        <w:rPr>
          <w:color w:val="000000" w:themeColor="text1"/>
        </w:rPr>
        <w:t>.)</w:t>
      </w:r>
      <w:r w:rsidR="004A78C8">
        <w:rPr>
          <w:color w:val="000000" w:themeColor="text1"/>
        </w:rPr>
        <w:t xml:space="preserve"> </w:t>
      </w:r>
      <w:r>
        <w:rPr>
          <w:color w:val="000000" w:themeColor="text1"/>
        </w:rPr>
        <w:t xml:space="preserve">As a pediatric plastic surgeon, Dr. Redett receives referral cases of bad IV infiltrate injuries, and he characterized R.G.’s as one of the worst he has ever seen. Dr. Redett has done </w:t>
      </w:r>
      <w:r w:rsidR="00460DBD">
        <w:rPr>
          <w:color w:val="000000" w:themeColor="text1"/>
        </w:rPr>
        <w:t>six</w:t>
      </w:r>
      <w:r>
        <w:rPr>
          <w:color w:val="000000" w:themeColor="text1"/>
        </w:rPr>
        <w:t xml:space="preserve"> laser surgeries under general anesthesia to try to loosen up the tightening in R.G.’s ankle joint from the injury, and although her skin is now more supple in that area, the tightness remains. The Court and of course the jury could also see this: R.G. walks without putting her right heel down to the floor and favors the outside of the foot. </w:t>
      </w:r>
    </w:p>
    <w:p w:rsidR="001D3598" w:rsidRPr="00F72947" w:rsidRDefault="001D3598" w:rsidP="00DE27E9">
      <w:pPr>
        <w:pStyle w:val="FootnoteText"/>
        <w:spacing w:line="480" w:lineRule="auto"/>
        <w:ind w:firstLine="720"/>
        <w:rPr>
          <w:color w:val="000000" w:themeColor="text1"/>
        </w:rPr>
      </w:pPr>
      <w:r>
        <w:rPr>
          <w:color w:val="000000" w:themeColor="text1"/>
        </w:rPr>
        <w:t>Dr. Arkader, the only orthopedic surgeon to testify in this case, testified that R.G. will need at least two serious orthopedic procedures. She needs to have the ankle capsule opened and the tendons inspected and potentially her Achilles tendon lengthened.</w:t>
      </w:r>
      <w:r w:rsidR="00E563C7">
        <w:rPr>
          <w:color w:val="000000" w:themeColor="text1"/>
        </w:rPr>
        <w:t xml:space="preserve"> (Ex. 5, Arkader Tr. at 27:1-28:11.)</w:t>
      </w:r>
      <w:r>
        <w:rPr>
          <w:color w:val="000000" w:themeColor="text1"/>
        </w:rPr>
        <w:t xml:space="preserve"> That surgery will require teamwork with a plastic surgeon because it will be difficult to close the surgical wound without transplanting a flap of skin from elsewhere on the body.</w:t>
      </w:r>
      <w:r w:rsidR="00E563C7">
        <w:rPr>
          <w:color w:val="000000" w:themeColor="text1"/>
        </w:rPr>
        <w:t xml:space="preserve"> (</w:t>
      </w:r>
      <w:r w:rsidR="00E563C7">
        <w:rPr>
          <w:i/>
          <w:color w:val="000000" w:themeColor="text1"/>
        </w:rPr>
        <w:t xml:space="preserve">Id. </w:t>
      </w:r>
      <w:r w:rsidR="00E563C7">
        <w:rPr>
          <w:color w:val="000000" w:themeColor="text1"/>
        </w:rPr>
        <w:t>at 86:14-87:3.)</w:t>
      </w:r>
      <w:r>
        <w:rPr>
          <w:color w:val="000000" w:themeColor="text1"/>
        </w:rPr>
        <w:t xml:space="preserve"> Dr. Redett testified that such a flap procedure is fraught with peril because there are only three arteries that naturally feed blood to the ankle and foot, and one of them will have to be diverted to feed the new flap. Dr. Arkader also testified that R.G. has a significantly shorter right leg that has thrown off the balance in her pelvis when she stands, because of the worsening length discrepancy compared to the normal left leg.</w:t>
      </w:r>
      <w:r w:rsidR="00F72947">
        <w:rPr>
          <w:color w:val="000000" w:themeColor="text1"/>
        </w:rPr>
        <w:t xml:space="preserve"> (</w:t>
      </w:r>
      <w:r w:rsidR="00F72947">
        <w:rPr>
          <w:i/>
          <w:color w:val="000000" w:themeColor="text1"/>
        </w:rPr>
        <w:t>Id.</w:t>
      </w:r>
      <w:r w:rsidR="00F72947">
        <w:rPr>
          <w:color w:val="000000" w:themeColor="text1"/>
        </w:rPr>
        <w:t xml:space="preserve"> at 18:8-16.)</w:t>
      </w:r>
      <w:r>
        <w:rPr>
          <w:color w:val="000000" w:themeColor="text1"/>
        </w:rPr>
        <w:t xml:space="preserve"> He said she will need surgery to stop the growth of the normal leg around age 10, to try to even out the two legs.</w:t>
      </w:r>
      <w:r w:rsidR="00F72947">
        <w:rPr>
          <w:color w:val="000000" w:themeColor="text1"/>
        </w:rPr>
        <w:t xml:space="preserve"> (</w:t>
      </w:r>
      <w:r w:rsidR="00F72947">
        <w:rPr>
          <w:i/>
          <w:color w:val="000000" w:themeColor="text1"/>
        </w:rPr>
        <w:t>Id.</w:t>
      </w:r>
      <w:r w:rsidR="00F72947">
        <w:rPr>
          <w:color w:val="000000" w:themeColor="text1"/>
        </w:rPr>
        <w:t xml:space="preserve"> 49:2-50:13.)</w:t>
      </w:r>
      <w:r>
        <w:rPr>
          <w:color w:val="000000" w:themeColor="text1"/>
        </w:rPr>
        <w:t xml:space="preserve"> He hopes that those two surgeries will give her a normal gait </w:t>
      </w:r>
      <w:r w:rsidR="00DE27E9">
        <w:rPr>
          <w:color w:val="000000" w:themeColor="text1"/>
        </w:rPr>
        <w:t>but</w:t>
      </w:r>
      <w:r w:rsidR="00787546">
        <w:rPr>
          <w:color w:val="000000" w:themeColor="text1"/>
        </w:rPr>
        <w:t xml:space="preserve"> she will likely be </w:t>
      </w:r>
      <w:r w:rsidR="00DE27E9">
        <w:rPr>
          <w:color w:val="000000" w:themeColor="text1"/>
        </w:rPr>
        <w:t>more than</w:t>
      </w:r>
      <w:r w:rsidR="00787546">
        <w:rPr>
          <w:color w:val="000000" w:themeColor="text1"/>
        </w:rPr>
        <w:t xml:space="preserve"> an inch shorter than she would otherwise be </w:t>
      </w:r>
      <w:r w:rsidR="00787546">
        <w:rPr>
          <w:color w:val="000000" w:themeColor="text1"/>
        </w:rPr>
        <w:t>(</w:t>
      </w:r>
      <w:r w:rsidR="00787546">
        <w:rPr>
          <w:i/>
          <w:color w:val="000000" w:themeColor="text1"/>
        </w:rPr>
        <w:t>Id.</w:t>
      </w:r>
      <w:r w:rsidR="00787546">
        <w:rPr>
          <w:color w:val="000000" w:themeColor="text1"/>
        </w:rPr>
        <w:t xml:space="preserve"> at 51:10-14</w:t>
      </w:r>
      <w:r w:rsidR="00787546">
        <w:rPr>
          <w:color w:val="000000" w:themeColor="text1"/>
        </w:rPr>
        <w:t>.)</w:t>
      </w:r>
      <w:r w:rsidR="00787546">
        <w:rPr>
          <w:color w:val="000000" w:themeColor="text1"/>
        </w:rPr>
        <w:t>, and he</w:t>
      </w:r>
      <w:r>
        <w:rPr>
          <w:color w:val="000000" w:themeColor="text1"/>
        </w:rPr>
        <w:t xml:space="preserve"> ruled out </w:t>
      </w:r>
      <w:r w:rsidR="000A4BCB">
        <w:rPr>
          <w:color w:val="000000" w:themeColor="text1"/>
        </w:rPr>
        <w:t xml:space="preserve">a certain level of </w:t>
      </w:r>
      <w:r>
        <w:rPr>
          <w:color w:val="000000" w:themeColor="text1"/>
        </w:rPr>
        <w:t xml:space="preserve">athletic competitiveness. </w:t>
      </w:r>
      <w:r w:rsidR="00F72947">
        <w:rPr>
          <w:color w:val="000000" w:themeColor="text1"/>
        </w:rPr>
        <w:t>(</w:t>
      </w:r>
      <w:r w:rsidR="00F72947">
        <w:rPr>
          <w:i/>
          <w:color w:val="000000" w:themeColor="text1"/>
        </w:rPr>
        <w:t>Id.</w:t>
      </w:r>
      <w:r w:rsidR="00F72947">
        <w:rPr>
          <w:color w:val="000000" w:themeColor="text1"/>
        </w:rPr>
        <w:t xml:space="preserve"> at 85:9-86:4.)</w:t>
      </w:r>
    </w:p>
    <w:p w:rsidR="001D3598" w:rsidRDefault="001D3598" w:rsidP="001D3598">
      <w:pPr>
        <w:pStyle w:val="FootnoteText"/>
        <w:spacing w:line="480" w:lineRule="auto"/>
        <w:ind w:firstLine="720"/>
        <w:rPr>
          <w:color w:val="000000" w:themeColor="text1"/>
        </w:rPr>
      </w:pPr>
      <w:r>
        <w:rPr>
          <w:color w:val="000000" w:themeColor="text1"/>
        </w:rPr>
        <w:t xml:space="preserve">The jury also heard evidence about how it took many months for the initial burn injury to close and scar over, how R.G. had to undergo serial leg casting at age one to reduce the tightness </w:t>
      </w:r>
      <w:r>
        <w:rPr>
          <w:color w:val="000000" w:themeColor="text1"/>
        </w:rPr>
        <w:lastRenderedPageBreak/>
        <w:t xml:space="preserve">in the ankle, how she faces another round of casting in the near future, and many other details, most undisputed. The only difference of opinion in damages came on the last day of trial when the jury heard from a plastic surgeon named </w:t>
      </w:r>
      <w:r w:rsidR="00F96B2C">
        <w:rPr>
          <w:color w:val="000000" w:themeColor="text1"/>
        </w:rPr>
        <w:t xml:space="preserve">Dr. </w:t>
      </w:r>
      <w:r>
        <w:rPr>
          <w:color w:val="000000" w:themeColor="text1"/>
        </w:rPr>
        <w:t>Silverman. He testified that he agreed she needs surgery to fix the tightness in the ankle but believes it might be possible without a skin flap and using only a simple skin graft. The jury was entitled to put less weight on Dr. Silverman, who has seen R.G. only once, compared to the 20 or more times Dr. Redett has examined and treated her.</w:t>
      </w:r>
    </w:p>
    <w:p w:rsidR="001D3598" w:rsidRPr="00D6463D" w:rsidRDefault="001D3598" w:rsidP="00D6463D">
      <w:pPr>
        <w:pStyle w:val="FootnoteText"/>
        <w:spacing w:line="480" w:lineRule="auto"/>
        <w:ind w:firstLine="720"/>
        <w:rPr>
          <w:color w:val="000000" w:themeColor="text1"/>
        </w:rPr>
      </w:pPr>
      <w:r>
        <w:rPr>
          <w:color w:val="000000" w:themeColor="text1"/>
        </w:rPr>
        <w:t>As plaintiff’s counsel argued without objection in closing, the cosmetic aspect alone of this injury is quite profound. R.G.’s disfigurement is not merely on a noticeable part of the body, but a body part that for many women is an import</w:t>
      </w:r>
      <w:r w:rsidR="00204F96">
        <w:rPr>
          <w:color w:val="000000" w:themeColor="text1"/>
        </w:rPr>
        <w:t xml:space="preserve">ant aspect of feminine beauty. </w:t>
      </w:r>
      <w:r>
        <w:rPr>
          <w:color w:val="000000" w:themeColor="text1"/>
        </w:rPr>
        <w:t>Even when a woman is not wearing the latest fashion to call attention to her ankles, it is still typical and ordinary for a woman to show her ankles throughout the day. R.G. throughout her lifetime of 80-plus years will not have that option unless she is willing to bear the stares of strangers.  In short, we have here a profound injury fully</w:t>
      </w:r>
      <w:r w:rsidR="00D6463D">
        <w:rPr>
          <w:color w:val="000000" w:themeColor="text1"/>
        </w:rPr>
        <w:t xml:space="preserve"> justifying the jury’s verdict.</w:t>
      </w:r>
    </w:p>
    <w:p w:rsidR="001D3598" w:rsidRDefault="001D3598" w:rsidP="00D1194D">
      <w:pPr>
        <w:pStyle w:val="ListParagraph"/>
        <w:numPr>
          <w:ilvl w:val="0"/>
          <w:numId w:val="31"/>
        </w:numPr>
        <w:spacing w:line="480" w:lineRule="auto"/>
        <w:rPr>
          <w:b/>
          <w:color w:val="000000" w:themeColor="text1"/>
        </w:rPr>
      </w:pPr>
      <w:r>
        <w:rPr>
          <w:b/>
          <w:color w:val="000000" w:themeColor="text1"/>
        </w:rPr>
        <w:t xml:space="preserve">The </w:t>
      </w:r>
      <w:r w:rsidR="00D1194D">
        <w:rPr>
          <w:b/>
          <w:color w:val="000000" w:themeColor="text1"/>
        </w:rPr>
        <w:t>D</w:t>
      </w:r>
      <w:r>
        <w:rPr>
          <w:b/>
          <w:color w:val="000000" w:themeColor="text1"/>
        </w:rPr>
        <w:t xml:space="preserve">efense </w:t>
      </w:r>
      <w:r w:rsidR="00D1194D">
        <w:rPr>
          <w:b/>
          <w:color w:val="000000" w:themeColor="text1"/>
        </w:rPr>
        <w:t>A</w:t>
      </w:r>
      <w:r>
        <w:rPr>
          <w:b/>
          <w:color w:val="000000" w:themeColor="text1"/>
        </w:rPr>
        <w:t xml:space="preserve">rgument </w:t>
      </w:r>
      <w:r w:rsidR="00D1194D">
        <w:rPr>
          <w:rFonts w:eastAsia="Times New Roman"/>
          <w:b/>
          <w:color w:val="000000"/>
        </w:rPr>
        <w:t>A</w:t>
      </w:r>
      <w:r w:rsidRPr="00D1194D">
        <w:rPr>
          <w:rFonts w:eastAsia="Times New Roman"/>
          <w:b/>
          <w:color w:val="000000"/>
        </w:rPr>
        <w:t>gainst</w:t>
      </w:r>
      <w:r>
        <w:rPr>
          <w:b/>
          <w:color w:val="000000" w:themeColor="text1"/>
        </w:rPr>
        <w:t xml:space="preserve"> the </w:t>
      </w:r>
      <w:r w:rsidR="00D1194D">
        <w:rPr>
          <w:b/>
          <w:color w:val="000000" w:themeColor="text1"/>
        </w:rPr>
        <w:t>V</w:t>
      </w:r>
      <w:r>
        <w:rPr>
          <w:b/>
          <w:color w:val="000000" w:themeColor="text1"/>
        </w:rPr>
        <w:t xml:space="preserve">erdict </w:t>
      </w:r>
      <w:r w:rsidR="00D1194D">
        <w:rPr>
          <w:b/>
          <w:color w:val="000000" w:themeColor="text1"/>
        </w:rPr>
        <w:t>D</w:t>
      </w:r>
      <w:r>
        <w:rPr>
          <w:b/>
          <w:color w:val="000000" w:themeColor="text1"/>
        </w:rPr>
        <w:t>isregard</w:t>
      </w:r>
      <w:r w:rsidR="00204179">
        <w:rPr>
          <w:b/>
          <w:color w:val="000000" w:themeColor="text1"/>
        </w:rPr>
        <w:t>s</w:t>
      </w:r>
      <w:r>
        <w:rPr>
          <w:b/>
          <w:color w:val="000000" w:themeColor="text1"/>
        </w:rPr>
        <w:t xml:space="preserve"> the </w:t>
      </w:r>
      <w:r w:rsidR="00D1194D">
        <w:rPr>
          <w:b/>
          <w:color w:val="000000" w:themeColor="text1"/>
        </w:rPr>
        <w:t>E</w:t>
      </w:r>
      <w:r>
        <w:rPr>
          <w:b/>
          <w:color w:val="000000" w:themeColor="text1"/>
        </w:rPr>
        <w:t xml:space="preserve">vidence </w:t>
      </w:r>
    </w:p>
    <w:p w:rsidR="001D3598" w:rsidRDefault="001D3598" w:rsidP="001D3598">
      <w:pPr>
        <w:pStyle w:val="FootnoteText"/>
        <w:spacing w:line="480" w:lineRule="auto"/>
        <w:ind w:firstLine="720"/>
        <w:rPr>
          <w:color w:val="000000" w:themeColor="text1"/>
        </w:rPr>
      </w:pPr>
      <w:r>
        <w:rPr>
          <w:color w:val="000000" w:themeColor="text1"/>
        </w:rPr>
        <w:t>In the face of all this evidence, and with no co</w:t>
      </w:r>
      <w:r w:rsidR="00204179">
        <w:rPr>
          <w:color w:val="000000" w:themeColor="text1"/>
        </w:rPr>
        <w:t>ntention</w:t>
      </w:r>
      <w:r>
        <w:rPr>
          <w:color w:val="000000" w:themeColor="text1"/>
        </w:rPr>
        <w:t xml:space="preserve"> that the jury was improperly instructed on damages,</w:t>
      </w:r>
      <w:r>
        <w:rPr>
          <w:rStyle w:val="FootnoteReference"/>
          <w:color w:val="000000" w:themeColor="text1"/>
        </w:rPr>
        <w:footnoteReference w:id="6"/>
      </w:r>
      <w:r>
        <w:rPr>
          <w:color w:val="000000" w:themeColor="text1"/>
        </w:rPr>
        <w:t xml:space="preserve"> </w:t>
      </w:r>
      <w:r w:rsidR="001A74C4">
        <w:rPr>
          <w:color w:val="000000" w:themeColor="text1"/>
        </w:rPr>
        <w:t xml:space="preserve">or that plaintiff’s counsel made some inflammatory argument, </w:t>
      </w:r>
      <w:r>
        <w:rPr>
          <w:color w:val="000000" w:themeColor="text1"/>
        </w:rPr>
        <w:t xml:space="preserve">the defense mounts a thin protest that does nothing more than collect some old verdicts and apply a present value calculator to them. </w:t>
      </w:r>
    </w:p>
    <w:p w:rsidR="001D3598" w:rsidRDefault="001D3598" w:rsidP="001D3598">
      <w:pPr>
        <w:pStyle w:val="FootnoteText"/>
        <w:spacing w:line="480" w:lineRule="auto"/>
        <w:ind w:firstLine="720"/>
        <w:rPr>
          <w:color w:val="000000" w:themeColor="text1"/>
        </w:rPr>
      </w:pPr>
      <w:r>
        <w:rPr>
          <w:color w:val="000000" w:themeColor="text1"/>
        </w:rPr>
        <w:lastRenderedPageBreak/>
        <w:t>The defense does not even contend that the verdict was “against the clear weight of the evidence</w:t>
      </w:r>
      <w:r w:rsidR="005A248D">
        <w:rPr>
          <w:color w:val="000000" w:themeColor="text1"/>
        </w:rPr>
        <w:t>.</w:t>
      </w:r>
      <w:r w:rsidR="00633576">
        <w:rPr>
          <w:color w:val="000000" w:themeColor="text1"/>
        </w:rPr>
        <w:t xml:space="preserve">” </w:t>
      </w:r>
      <w:r>
        <w:rPr>
          <w:color w:val="000000" w:themeColor="text1"/>
        </w:rPr>
        <w:t xml:space="preserve">It just says the verdict was too high in comparison to other cases. This is a fatal flaw for the defense motion, because it ignores the long-standing law here and elsewhere that jury verdicts rise or fall on the specific evidence of the case, not on extraneous matters. </w:t>
      </w:r>
    </w:p>
    <w:p w:rsidR="001D3598" w:rsidRDefault="001D3598" w:rsidP="001D3598">
      <w:pPr>
        <w:pStyle w:val="FootnoteText"/>
        <w:spacing w:line="480" w:lineRule="auto"/>
        <w:ind w:firstLine="720"/>
        <w:rPr>
          <w:rFonts w:eastAsia="Arial"/>
          <w:color w:val="000000" w:themeColor="text1"/>
        </w:rPr>
      </w:pPr>
      <w:r>
        <w:rPr>
          <w:rFonts w:eastAsia="Arial"/>
          <w:color w:val="000000" w:themeColor="text1"/>
        </w:rPr>
        <w:t>While there is no hard-and-fast rule against using comparative case analysis, still, our Court of Appeals, as previously discussed, has repeatedly made clear that the analysis must focus first and foremost on the facts of th</w:t>
      </w:r>
      <w:r w:rsidR="00204179">
        <w:rPr>
          <w:rFonts w:eastAsia="Arial"/>
          <w:color w:val="000000" w:themeColor="text1"/>
        </w:rPr>
        <w:t>e</w:t>
      </w:r>
      <w:r>
        <w:rPr>
          <w:rFonts w:eastAsia="Arial"/>
          <w:color w:val="000000" w:themeColor="text1"/>
        </w:rPr>
        <w:t xml:space="preserve"> case. On that, the defense is utterly silent. The defense says not one word about the injury suffered by R.G., except to lump it into other IV infiltration injuries and to imply that verdicts in court should follow some sort of workers’ compensation-type schedule of so much for an eye and so much for a disfigured ankle. </w:t>
      </w:r>
    </w:p>
    <w:p w:rsidR="001D3598" w:rsidRPr="00472616" w:rsidRDefault="001D3598" w:rsidP="00EC2BAE">
      <w:pPr>
        <w:pStyle w:val="ListParagraph"/>
        <w:keepNext/>
        <w:keepLines/>
        <w:numPr>
          <w:ilvl w:val="0"/>
          <w:numId w:val="31"/>
        </w:numPr>
        <w:spacing w:line="480" w:lineRule="auto"/>
        <w:rPr>
          <w:b/>
          <w:color w:val="000000" w:themeColor="text1"/>
        </w:rPr>
      </w:pPr>
      <w:r>
        <w:rPr>
          <w:b/>
          <w:color w:val="000000" w:themeColor="text1"/>
        </w:rPr>
        <w:tab/>
        <w:t>Plaintiffs’ “</w:t>
      </w:r>
      <w:r w:rsidRPr="00472616">
        <w:rPr>
          <w:b/>
          <w:i/>
          <w:color w:val="000000" w:themeColor="text1"/>
        </w:rPr>
        <w:t>Colston</w:t>
      </w:r>
      <w:r w:rsidR="00472616">
        <w:rPr>
          <w:b/>
          <w:i/>
          <w:color w:val="000000" w:themeColor="text1"/>
        </w:rPr>
        <w:t xml:space="preserve"> </w:t>
      </w:r>
      <w:r w:rsidR="00472616">
        <w:rPr>
          <w:b/>
          <w:color w:val="000000" w:themeColor="text1"/>
        </w:rPr>
        <w:t>A</w:t>
      </w:r>
      <w:r>
        <w:rPr>
          <w:b/>
          <w:color w:val="000000" w:themeColor="text1"/>
        </w:rPr>
        <w:t>rgument</w:t>
      </w:r>
      <w:r w:rsidR="00472616">
        <w:rPr>
          <w:b/>
          <w:color w:val="000000" w:themeColor="text1"/>
        </w:rPr>
        <w:t>” W</w:t>
      </w:r>
      <w:r>
        <w:rPr>
          <w:b/>
          <w:color w:val="000000" w:themeColor="text1"/>
        </w:rPr>
        <w:t xml:space="preserve">as </w:t>
      </w:r>
      <w:r w:rsidR="00472616">
        <w:rPr>
          <w:b/>
          <w:color w:val="000000" w:themeColor="text1"/>
        </w:rPr>
        <w:t>N</w:t>
      </w:r>
      <w:r>
        <w:rPr>
          <w:b/>
          <w:color w:val="000000" w:themeColor="text1"/>
        </w:rPr>
        <w:t xml:space="preserve">ot </w:t>
      </w:r>
      <w:r w:rsidR="00472616">
        <w:rPr>
          <w:b/>
          <w:color w:val="000000" w:themeColor="text1"/>
        </w:rPr>
        <w:t>I</w:t>
      </w:r>
      <w:r>
        <w:rPr>
          <w:b/>
          <w:color w:val="000000" w:themeColor="text1"/>
        </w:rPr>
        <w:t xml:space="preserve">mproper  </w:t>
      </w:r>
    </w:p>
    <w:p w:rsidR="00260F97" w:rsidRDefault="001D3598" w:rsidP="00EC2BAE">
      <w:pPr>
        <w:pStyle w:val="FootnoteText"/>
        <w:keepNext/>
        <w:keepLines/>
        <w:spacing w:line="480" w:lineRule="auto"/>
        <w:contextualSpacing/>
        <w:rPr>
          <w:color w:val="000000" w:themeColor="text1"/>
        </w:rPr>
      </w:pPr>
      <w:r>
        <w:rPr>
          <w:color w:val="000000" w:themeColor="text1"/>
        </w:rPr>
        <w:tab/>
        <w:t xml:space="preserve">This Court ruled before closing arguments, in accordance with a substantial body of case law in this jurisdiction, that it would be proper for plaintiff’s counsel to make a </w:t>
      </w:r>
      <w:r>
        <w:rPr>
          <w:i/>
          <w:color w:val="000000" w:themeColor="text1"/>
        </w:rPr>
        <w:t>Colston-</w:t>
      </w:r>
      <w:r>
        <w:rPr>
          <w:color w:val="000000" w:themeColor="text1"/>
        </w:rPr>
        <w:t xml:space="preserve">type argument for money damages. Counsel then did so, without a word of objection from Georgetown’s counsel. </w:t>
      </w:r>
      <w:r w:rsidR="00E161DC">
        <w:rPr>
          <w:color w:val="000000" w:themeColor="text1"/>
        </w:rPr>
        <w:t>(</w:t>
      </w:r>
      <w:r w:rsidR="00B909F2">
        <w:rPr>
          <w:color w:val="000000" w:themeColor="text1"/>
        </w:rPr>
        <w:t>Def.</w:t>
      </w:r>
      <w:r>
        <w:rPr>
          <w:color w:val="000000" w:themeColor="text1"/>
        </w:rPr>
        <w:t xml:space="preserve"> Ex. 3 at 81.</w:t>
      </w:r>
      <w:r w:rsidR="00E161DC">
        <w:rPr>
          <w:color w:val="000000" w:themeColor="text1"/>
        </w:rPr>
        <w:t>)</w:t>
      </w:r>
      <w:r>
        <w:rPr>
          <w:color w:val="000000" w:themeColor="text1"/>
        </w:rPr>
        <w:t xml:space="preserve"> </w:t>
      </w:r>
    </w:p>
    <w:p w:rsidR="00260F97" w:rsidRDefault="00260F97" w:rsidP="00EC2BAE">
      <w:pPr>
        <w:pStyle w:val="FootnoteText"/>
        <w:keepNext/>
        <w:keepLines/>
        <w:spacing w:line="480" w:lineRule="auto"/>
        <w:ind w:firstLine="720"/>
        <w:contextualSpacing/>
        <w:rPr>
          <w:color w:val="000000" w:themeColor="text1"/>
        </w:rPr>
      </w:pPr>
      <w:r>
        <w:rPr>
          <w:color w:val="000000" w:themeColor="text1"/>
        </w:rPr>
        <w:t xml:space="preserve">In </w:t>
      </w:r>
      <w:r>
        <w:rPr>
          <w:i/>
          <w:color w:val="000000" w:themeColor="text1"/>
        </w:rPr>
        <w:t>District of Columbia v. Colston</w:t>
      </w:r>
      <w:r>
        <w:rPr>
          <w:color w:val="000000" w:themeColor="text1"/>
        </w:rPr>
        <w:t>, 468 A.2d 954 (D.C. 1983), which concerned an injury that left the plaintiff blind in one eye, plaintiff’s counsel said to the jury in closing argument: “H</w:t>
      </w:r>
      <w:r w:rsidR="00E22E78">
        <w:rPr>
          <w:color w:val="000000" w:themeColor="text1"/>
        </w:rPr>
        <w:t>ow much is a healthy eye worth?</w:t>
      </w:r>
      <w:r>
        <w:rPr>
          <w:color w:val="000000" w:themeColor="text1"/>
        </w:rPr>
        <w:t xml:space="preserve"> You cannot restore his vision but you can compensate him fo</w:t>
      </w:r>
      <w:r w:rsidR="00E22E78">
        <w:rPr>
          <w:color w:val="000000" w:themeColor="text1"/>
        </w:rPr>
        <w:t>r the loss.</w:t>
      </w:r>
      <w:r>
        <w:rPr>
          <w:color w:val="000000" w:themeColor="text1"/>
        </w:rPr>
        <w:t xml:space="preserve"> Is an eye worth five hundred thou</w:t>
      </w:r>
      <w:r w:rsidR="00F32784">
        <w:rPr>
          <w:color w:val="000000" w:themeColor="text1"/>
        </w:rPr>
        <w:t xml:space="preserve">sand? </w:t>
      </w:r>
      <w:r w:rsidR="00E22E78">
        <w:rPr>
          <w:color w:val="000000" w:themeColor="text1"/>
        </w:rPr>
        <w:t>Eight hundred thousand? A million?</w:t>
      </w:r>
      <w:r>
        <w:rPr>
          <w:color w:val="000000" w:themeColor="text1"/>
        </w:rPr>
        <w:t xml:space="preserve"> That is for you to say.</w:t>
      </w:r>
      <w:r w:rsidR="00E22E78">
        <w:rPr>
          <w:color w:val="000000" w:themeColor="text1"/>
        </w:rPr>
        <w:t xml:space="preserve"> That is for you to decide.” </w:t>
      </w:r>
      <w:r>
        <w:rPr>
          <w:i/>
          <w:color w:val="000000" w:themeColor="text1"/>
        </w:rPr>
        <w:t xml:space="preserve">Id. </w:t>
      </w:r>
      <w:r>
        <w:rPr>
          <w:color w:val="000000" w:themeColor="text1"/>
        </w:rPr>
        <w:t xml:space="preserve">at 956, 957 n. 1.  </w:t>
      </w:r>
    </w:p>
    <w:p w:rsidR="00260F97" w:rsidRDefault="00260F97" w:rsidP="00260F97">
      <w:pPr>
        <w:pStyle w:val="FootnoteText"/>
        <w:spacing w:line="480" w:lineRule="auto"/>
        <w:ind w:firstLine="720"/>
        <w:rPr>
          <w:color w:val="000000" w:themeColor="text1"/>
        </w:rPr>
      </w:pPr>
      <w:r>
        <w:rPr>
          <w:color w:val="000000" w:themeColor="text1"/>
        </w:rPr>
        <w:t xml:space="preserve">The Court of Appeals said the argument was “not improper” and that such an argument was a proper effort by plaintiff’s counsel “to stress those aspects of the case that contribute to its seriousness.” Id. at 958 (internal citations omitted). </w:t>
      </w:r>
    </w:p>
    <w:p w:rsidR="00260F97" w:rsidRDefault="00260F97" w:rsidP="00260F97">
      <w:pPr>
        <w:pStyle w:val="FootnoteText"/>
        <w:spacing w:line="480" w:lineRule="auto"/>
        <w:ind w:firstLine="720"/>
        <w:rPr>
          <w:color w:val="000000" w:themeColor="text1"/>
        </w:rPr>
      </w:pPr>
      <w:r>
        <w:rPr>
          <w:color w:val="000000" w:themeColor="text1"/>
        </w:rPr>
        <w:lastRenderedPageBreak/>
        <w:t xml:space="preserve">To the same effect is </w:t>
      </w:r>
      <w:r>
        <w:rPr>
          <w:i/>
          <w:color w:val="000000" w:themeColor="text1"/>
        </w:rPr>
        <w:t>Hechinger Co. v. Johnson</w:t>
      </w:r>
      <w:r>
        <w:rPr>
          <w:color w:val="000000" w:themeColor="text1"/>
        </w:rPr>
        <w:t xml:space="preserve">, 761 A.2d 15 (D.C. 2000). In that case, a patron sued a hardware store for damages for the serious brain injury he sustained when an employee of the store assaulted him. </w:t>
      </w:r>
      <w:r>
        <w:rPr>
          <w:i/>
          <w:color w:val="000000" w:themeColor="text1"/>
        </w:rPr>
        <w:t xml:space="preserve">Id. </w:t>
      </w:r>
      <w:r>
        <w:rPr>
          <w:color w:val="000000" w:themeColor="text1"/>
        </w:rPr>
        <w:t xml:space="preserve">at 18-19. In closing, plaintiff’s counsel argued: “I can’t tell you what his injuries are worth. That’s up to you to determine how much he is to receive.  </w:t>
      </w:r>
      <w:r>
        <w:rPr>
          <w:i/>
          <w:color w:val="000000" w:themeColor="text1"/>
        </w:rPr>
        <w:t>I can’t tell you if it is a million dollars, if it is two million dollars, or if it is three million dollars.  That is for you to decide</w:t>
      </w:r>
      <w:r>
        <w:rPr>
          <w:color w:val="000000" w:themeColor="text1"/>
        </w:rPr>
        <w:t xml:space="preserve">. </w:t>
      </w:r>
      <w:r>
        <w:rPr>
          <w:i/>
          <w:color w:val="000000" w:themeColor="text1"/>
        </w:rPr>
        <w:t xml:space="preserve">Id. </w:t>
      </w:r>
      <w:r>
        <w:rPr>
          <w:color w:val="000000" w:themeColor="text1"/>
        </w:rPr>
        <w:t xml:space="preserve">at 22 (emphasis in original).  </w:t>
      </w:r>
    </w:p>
    <w:p w:rsidR="00260F97" w:rsidRDefault="00260F97" w:rsidP="00260F97">
      <w:pPr>
        <w:pStyle w:val="FootnoteText"/>
        <w:spacing w:line="480" w:lineRule="auto"/>
        <w:ind w:firstLine="720"/>
        <w:rPr>
          <w:color w:val="000000" w:themeColor="text1"/>
        </w:rPr>
      </w:pPr>
      <w:r>
        <w:rPr>
          <w:color w:val="000000" w:themeColor="text1"/>
        </w:rPr>
        <w:t xml:space="preserve">On appeal, the Court found “no material difference between the dollar figure argument sanctioned in </w:t>
      </w:r>
      <w:r>
        <w:rPr>
          <w:i/>
          <w:color w:val="000000" w:themeColor="text1"/>
        </w:rPr>
        <w:t>Colston</w:t>
      </w:r>
      <w:r>
        <w:rPr>
          <w:color w:val="000000" w:themeColor="text1"/>
        </w:rPr>
        <w:t xml:space="preserve"> and the one that [the plaintif</w:t>
      </w:r>
      <w:r w:rsidR="00E22E78">
        <w:rPr>
          <w:color w:val="000000" w:themeColor="text1"/>
        </w:rPr>
        <w:t>f’s] counsel made in this case.</w:t>
      </w:r>
      <w:r>
        <w:rPr>
          <w:color w:val="000000" w:themeColor="text1"/>
        </w:rPr>
        <w:t xml:space="preserve"> Neither counsel asked the jury to award a specific dollar amount, and both told the jury that it was for them to decide the proper measure of damages.” </w:t>
      </w:r>
      <w:r>
        <w:rPr>
          <w:i/>
          <w:color w:val="000000" w:themeColor="text1"/>
        </w:rPr>
        <w:t xml:space="preserve">Id. </w:t>
      </w:r>
      <w:r>
        <w:rPr>
          <w:color w:val="000000" w:themeColor="text1"/>
        </w:rPr>
        <w:t xml:space="preserve">Also, as in </w:t>
      </w:r>
      <w:r>
        <w:rPr>
          <w:i/>
          <w:color w:val="000000" w:themeColor="text1"/>
        </w:rPr>
        <w:t>Colston</w:t>
      </w:r>
      <w:r>
        <w:rPr>
          <w:color w:val="000000" w:themeColor="text1"/>
        </w:rPr>
        <w:t xml:space="preserve">, “the trial court instructed the jury that it must base its decision on the evidence, without sympathy, prejudice or passion, and that the statements of counsel are not evidence. The jury is presumed to follow the court’s instruction.” </w:t>
      </w:r>
      <w:r>
        <w:rPr>
          <w:i/>
          <w:color w:val="000000" w:themeColor="text1"/>
        </w:rPr>
        <w:t>Id.</w:t>
      </w:r>
      <w:r>
        <w:rPr>
          <w:color w:val="000000" w:themeColor="text1"/>
        </w:rPr>
        <w:t xml:space="preserve">  </w:t>
      </w:r>
    </w:p>
    <w:p w:rsidR="001A74C4" w:rsidRDefault="001D3598" w:rsidP="00633576">
      <w:pPr>
        <w:pStyle w:val="FootnoteText"/>
        <w:spacing w:line="480" w:lineRule="auto"/>
        <w:ind w:firstLine="720"/>
        <w:rPr>
          <w:color w:val="000000" w:themeColor="text1"/>
        </w:rPr>
      </w:pPr>
      <w:r>
        <w:rPr>
          <w:color w:val="000000" w:themeColor="text1"/>
        </w:rPr>
        <w:t>Now all that Georgetown says is that plaintiffs</w:t>
      </w:r>
      <w:r w:rsidR="00E161DC">
        <w:rPr>
          <w:color w:val="000000" w:themeColor="text1"/>
        </w:rPr>
        <w:t>’</w:t>
      </w:r>
      <w:r>
        <w:rPr>
          <w:color w:val="000000" w:themeColor="text1"/>
        </w:rPr>
        <w:t xml:space="preserve"> number in the “high seven figures” was too high in comparison to other verdicts involving intravenous infiltrations. </w:t>
      </w:r>
      <w:r w:rsidR="00E161DC">
        <w:rPr>
          <w:color w:val="000000" w:themeColor="text1"/>
        </w:rPr>
        <w:t>(Def.</w:t>
      </w:r>
      <w:r>
        <w:rPr>
          <w:color w:val="000000" w:themeColor="text1"/>
        </w:rPr>
        <w:t xml:space="preserve"> </w:t>
      </w:r>
      <w:r w:rsidR="00E161DC">
        <w:rPr>
          <w:color w:val="000000" w:themeColor="text1"/>
        </w:rPr>
        <w:t>B</w:t>
      </w:r>
      <w:r>
        <w:rPr>
          <w:color w:val="000000" w:themeColor="text1"/>
        </w:rPr>
        <w:t>rief at p. 13.</w:t>
      </w:r>
      <w:r w:rsidR="00E161DC">
        <w:rPr>
          <w:color w:val="000000" w:themeColor="text1"/>
        </w:rPr>
        <w:t>)</w:t>
      </w:r>
      <w:r>
        <w:rPr>
          <w:color w:val="000000" w:themeColor="text1"/>
        </w:rPr>
        <w:t xml:space="preserve">  Importantly, though, Georgetown does not argue that plaintiffs</w:t>
      </w:r>
      <w:r w:rsidR="00B61634">
        <w:rPr>
          <w:color w:val="000000" w:themeColor="text1"/>
        </w:rPr>
        <w:t>’</w:t>
      </w:r>
      <w:r>
        <w:rPr>
          <w:color w:val="000000" w:themeColor="text1"/>
        </w:rPr>
        <w:t xml:space="preserve"> argument was impr</w:t>
      </w:r>
      <w:r w:rsidR="008D1A08">
        <w:rPr>
          <w:color w:val="000000" w:themeColor="text1"/>
        </w:rPr>
        <w:t>oper, in this or any other way.</w:t>
      </w:r>
      <w:r>
        <w:rPr>
          <w:color w:val="000000" w:themeColor="text1"/>
        </w:rPr>
        <w:t xml:space="preserve"> Thus, another basis for remittitur – that improper arguments somehow whipped the jury into an irrational frenzy – vanishes, because Georgetown implicitly acknowledges there was nothing improper about plaintiffs</w:t>
      </w:r>
      <w:r w:rsidR="00B61634">
        <w:rPr>
          <w:color w:val="000000" w:themeColor="text1"/>
        </w:rPr>
        <w:t>’</w:t>
      </w:r>
      <w:r>
        <w:rPr>
          <w:color w:val="000000" w:themeColor="text1"/>
        </w:rPr>
        <w:t xml:space="preserve"> argument on damages. </w:t>
      </w:r>
    </w:p>
    <w:p w:rsidR="001A74C4" w:rsidRDefault="001A74C4" w:rsidP="00B04838">
      <w:pPr>
        <w:pStyle w:val="FootnoteText"/>
        <w:spacing w:line="480" w:lineRule="auto"/>
        <w:jc w:val="center"/>
        <w:rPr>
          <w:color w:val="000000" w:themeColor="text1"/>
        </w:rPr>
      </w:pPr>
      <w:r>
        <w:rPr>
          <w:b/>
          <w:color w:val="000000" w:themeColor="text1"/>
        </w:rPr>
        <w:t>Conclusion</w:t>
      </w:r>
    </w:p>
    <w:p w:rsidR="001A74C4" w:rsidRPr="001A74C4" w:rsidRDefault="001A74C4" w:rsidP="001D3598">
      <w:pPr>
        <w:pStyle w:val="FootnoteText"/>
        <w:spacing w:line="480" w:lineRule="auto"/>
        <w:rPr>
          <w:color w:val="000000" w:themeColor="text1"/>
        </w:rPr>
      </w:pPr>
      <w:r>
        <w:rPr>
          <w:color w:val="000000" w:themeColor="text1"/>
        </w:rPr>
        <w:tab/>
        <w:t>Georgetown presents no real challenge to this jury’s verdict.  The thinness of its arguments goes only to show how meticulously and fairly this Court conducted the trial. The motion should be denied in its entirety.</w:t>
      </w:r>
    </w:p>
    <w:p w:rsidR="0076128B" w:rsidRPr="00470B29" w:rsidRDefault="0076128B" w:rsidP="006C4798">
      <w:pPr>
        <w:pStyle w:val="BodyA"/>
        <w:spacing w:line="480" w:lineRule="auto"/>
        <w:jc w:val="both"/>
        <w:rPr>
          <w:rFonts w:ascii="Times New Roman" w:hAnsi="Times New Roman" w:cs="Times New Roman"/>
          <w:color w:val="000000" w:themeColor="text1"/>
        </w:rPr>
      </w:pPr>
    </w:p>
    <w:p w:rsidR="00A52AEA" w:rsidRPr="00470B29" w:rsidRDefault="00A52AEA" w:rsidP="00A52AEA">
      <w:pPr>
        <w:spacing w:line="480" w:lineRule="auto"/>
        <w:ind w:left="3600" w:firstLine="720"/>
        <w:rPr>
          <w:color w:val="000000" w:themeColor="text1"/>
        </w:rPr>
      </w:pPr>
      <w:r w:rsidRPr="00470B29">
        <w:rPr>
          <w:color w:val="000000" w:themeColor="text1"/>
        </w:rPr>
        <w:t>Respectfully submitted,</w:t>
      </w:r>
    </w:p>
    <w:p w:rsidR="00A52AEA" w:rsidRPr="00470B29" w:rsidRDefault="00A52AEA" w:rsidP="00A52AEA">
      <w:pPr>
        <w:ind w:left="6480" w:firstLine="720"/>
        <w:rPr>
          <w:color w:val="000000" w:themeColor="text1"/>
        </w:rPr>
      </w:pPr>
    </w:p>
    <w:p w:rsidR="00A52AEA" w:rsidRPr="00470B29" w:rsidRDefault="00A52AEA" w:rsidP="00A52AEA">
      <w:pPr>
        <w:ind w:left="720"/>
        <w:rPr>
          <w:color w:val="000000" w:themeColor="text1"/>
          <w:u w:val="single"/>
        </w:rPr>
      </w:pP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u w:val="single"/>
        </w:rPr>
        <w:t xml:space="preserve">/s/ </w:t>
      </w:r>
      <w:r w:rsidR="006D715C">
        <w:rPr>
          <w:color w:val="000000" w:themeColor="text1"/>
          <w:u w:val="single"/>
        </w:rPr>
        <w:t>Patrick A. Malone</w:t>
      </w:r>
      <w:r w:rsidRPr="00470B29">
        <w:rPr>
          <w:color w:val="000000" w:themeColor="text1"/>
          <w:u w:val="single"/>
        </w:rPr>
        <w:t xml:space="preserve"> </w:t>
      </w:r>
      <w:r w:rsidRPr="00470B29">
        <w:rPr>
          <w:color w:val="000000" w:themeColor="text1"/>
          <w:u w:val="single"/>
        </w:rPr>
        <w:tab/>
      </w:r>
      <w:r w:rsidRPr="00470B29">
        <w:rPr>
          <w:color w:val="000000" w:themeColor="text1"/>
          <w:u w:val="single"/>
        </w:rPr>
        <w:tab/>
      </w:r>
      <w:r w:rsidRPr="00470B29">
        <w:rPr>
          <w:color w:val="000000" w:themeColor="text1"/>
          <w:u w:val="single"/>
        </w:rPr>
        <w:tab/>
      </w:r>
    </w:p>
    <w:p w:rsidR="00A52AEA" w:rsidRPr="00470B29" w:rsidRDefault="00A52AEA" w:rsidP="00A52AEA">
      <w:pPr>
        <w:ind w:left="3600" w:firstLine="720"/>
        <w:rPr>
          <w:color w:val="000000" w:themeColor="text1"/>
        </w:rPr>
      </w:pPr>
      <w:r w:rsidRPr="00470B29">
        <w:rPr>
          <w:color w:val="000000" w:themeColor="text1"/>
        </w:rPr>
        <w:t>Patrick A. Malone, Esq. (D.C. Bar No. 397142)</w:t>
      </w:r>
    </w:p>
    <w:p w:rsidR="00A52AEA" w:rsidRPr="00470B29" w:rsidRDefault="00A52AEA" w:rsidP="00A52AEA">
      <w:pPr>
        <w:ind w:left="4320"/>
        <w:rPr>
          <w:color w:val="000000" w:themeColor="text1"/>
        </w:rPr>
      </w:pPr>
      <w:r w:rsidRPr="00470B29">
        <w:rPr>
          <w:color w:val="000000" w:themeColor="text1"/>
        </w:rPr>
        <w:t>Daniel Scialpi, Esq. (D.C. Bar No. 454937)</w:t>
      </w:r>
    </w:p>
    <w:p w:rsidR="00A52AEA" w:rsidRPr="00470B29" w:rsidRDefault="00A52AEA" w:rsidP="00A52AEA">
      <w:pPr>
        <w:ind w:left="3600" w:firstLine="720"/>
        <w:rPr>
          <w:color w:val="000000" w:themeColor="text1"/>
        </w:rPr>
      </w:pPr>
      <w:r w:rsidRPr="00470B29">
        <w:rPr>
          <w:color w:val="000000" w:themeColor="text1"/>
        </w:rPr>
        <w:t>Patrick Malone &amp; Associates, P.C.</w:t>
      </w:r>
    </w:p>
    <w:p w:rsidR="00A52AEA" w:rsidRPr="00470B29" w:rsidRDefault="00A52AEA" w:rsidP="00A52AEA">
      <w:pPr>
        <w:autoSpaceDE w:val="0"/>
        <w:autoSpaceDN w:val="0"/>
        <w:adjustRightInd w:val="0"/>
        <w:spacing w:line="240" w:lineRule="atLeast"/>
        <w:ind w:left="3600" w:firstLine="720"/>
        <w:rPr>
          <w:color w:val="000000" w:themeColor="text1"/>
        </w:rPr>
      </w:pPr>
      <w:r w:rsidRPr="00470B29">
        <w:rPr>
          <w:color w:val="000000" w:themeColor="text1"/>
        </w:rPr>
        <w:t>1310 L Street N.W., Suite 800</w:t>
      </w:r>
    </w:p>
    <w:p w:rsidR="00A52AEA" w:rsidRPr="00470B29" w:rsidRDefault="00A52AEA" w:rsidP="00A52AEA">
      <w:pPr>
        <w:ind w:left="3600" w:firstLine="720"/>
        <w:rPr>
          <w:color w:val="000000" w:themeColor="text1"/>
        </w:rPr>
      </w:pPr>
      <w:r w:rsidRPr="00470B29">
        <w:rPr>
          <w:color w:val="000000" w:themeColor="text1"/>
        </w:rPr>
        <w:t>Washington, DC  20005</w:t>
      </w:r>
      <w:r w:rsidRPr="00470B29">
        <w:rPr>
          <w:color w:val="000000" w:themeColor="text1"/>
        </w:rPr>
        <w:tab/>
      </w:r>
    </w:p>
    <w:p w:rsidR="00A52AEA" w:rsidRPr="00470B29" w:rsidRDefault="00A52AEA" w:rsidP="00A52AEA">
      <w:pPr>
        <w:ind w:left="4320"/>
        <w:rPr>
          <w:color w:val="000000" w:themeColor="text1"/>
        </w:rPr>
      </w:pPr>
      <w:r w:rsidRPr="00470B29">
        <w:rPr>
          <w:color w:val="000000" w:themeColor="text1"/>
        </w:rPr>
        <w:t>(202) 742-1500</w:t>
      </w:r>
    </w:p>
    <w:p w:rsidR="00A52AEA" w:rsidRPr="00470B29" w:rsidRDefault="004D036D" w:rsidP="00A52AEA">
      <w:pPr>
        <w:ind w:left="4320"/>
        <w:rPr>
          <w:color w:val="000000" w:themeColor="text1"/>
        </w:rPr>
      </w:pPr>
      <w:hyperlink r:id="rId14" w:history="1">
        <w:r w:rsidR="00A52AEA" w:rsidRPr="00470B29">
          <w:rPr>
            <w:rStyle w:val="Hyperlink"/>
          </w:rPr>
          <w:t>dscialpi@patrickmalonelaw.com</w:t>
        </w:r>
      </w:hyperlink>
      <w:r w:rsidR="00A52AEA" w:rsidRPr="00470B29">
        <w:rPr>
          <w:color w:val="000000" w:themeColor="text1"/>
        </w:rPr>
        <w:t xml:space="preserve"> </w:t>
      </w:r>
    </w:p>
    <w:p w:rsidR="00A52AEA" w:rsidRPr="00470B29" w:rsidRDefault="00A52AEA" w:rsidP="00A52AEA">
      <w:pPr>
        <w:rPr>
          <w:color w:val="000000" w:themeColor="text1"/>
        </w:rPr>
      </w:pPr>
    </w:p>
    <w:p w:rsidR="00A52AEA" w:rsidRPr="00470B29" w:rsidRDefault="00A52AEA" w:rsidP="00A52AEA">
      <w:pPr>
        <w:ind w:left="3600" w:firstLine="720"/>
        <w:rPr>
          <w:i/>
          <w:color w:val="000000" w:themeColor="text1"/>
        </w:rPr>
      </w:pPr>
      <w:r w:rsidRPr="00470B29">
        <w:rPr>
          <w:i/>
          <w:color w:val="000000" w:themeColor="text1"/>
        </w:rPr>
        <w:t>Counsel for Plaintiffs</w:t>
      </w:r>
    </w:p>
    <w:p w:rsidR="00A52AEA" w:rsidRPr="00470B29" w:rsidRDefault="00A52AEA" w:rsidP="00A52AEA">
      <w:pPr>
        <w:ind w:left="5040"/>
        <w:rPr>
          <w:color w:val="000000" w:themeColor="text1"/>
        </w:rPr>
      </w:pPr>
    </w:p>
    <w:p w:rsidR="00A52AEA" w:rsidRPr="00470B29" w:rsidRDefault="00A52AEA" w:rsidP="00A52AEA">
      <w:pPr>
        <w:rPr>
          <w:i/>
          <w:color w:val="000000" w:themeColor="text1"/>
        </w:rPr>
      </w:pPr>
    </w:p>
    <w:p w:rsidR="00A52AEA" w:rsidRPr="00470B29" w:rsidRDefault="00A52AEA" w:rsidP="00A52AEA">
      <w:pPr>
        <w:rPr>
          <w:color w:val="000000" w:themeColor="text1"/>
        </w:rPr>
      </w:pPr>
    </w:p>
    <w:p w:rsidR="00A62686" w:rsidRDefault="00A62686" w:rsidP="00A52AEA">
      <w:pPr>
        <w:spacing w:line="480" w:lineRule="auto"/>
        <w:jc w:val="center"/>
        <w:rPr>
          <w:b/>
          <w:color w:val="000000" w:themeColor="text1"/>
          <w:u w:val="single"/>
        </w:rPr>
      </w:pPr>
    </w:p>
    <w:p w:rsidR="00A52AEA" w:rsidRPr="00470B29" w:rsidRDefault="00A52AEA" w:rsidP="00A52AEA">
      <w:pPr>
        <w:spacing w:line="480" w:lineRule="auto"/>
        <w:jc w:val="center"/>
        <w:rPr>
          <w:color w:val="000000" w:themeColor="text1"/>
        </w:rPr>
      </w:pPr>
      <w:r w:rsidRPr="00470B29">
        <w:rPr>
          <w:b/>
          <w:color w:val="000000" w:themeColor="text1"/>
          <w:u w:val="single"/>
        </w:rPr>
        <w:t>CERTIFICATE OF SERVICE</w:t>
      </w:r>
    </w:p>
    <w:p w:rsidR="00A52AEA" w:rsidRPr="00470B29" w:rsidRDefault="00A52AEA" w:rsidP="00A52AEA">
      <w:pPr>
        <w:spacing w:line="480" w:lineRule="auto"/>
        <w:ind w:firstLine="720"/>
        <w:jc w:val="both"/>
        <w:rPr>
          <w:color w:val="000000" w:themeColor="text1"/>
        </w:rPr>
      </w:pPr>
      <w:r w:rsidRPr="00470B29">
        <w:rPr>
          <w:color w:val="000000" w:themeColor="text1"/>
        </w:rPr>
        <w:t xml:space="preserve">I HEREBY CERTIFY that a copy of the foregoing Opposition brief was served upon all counsel of record registered with the Court’s electronic filing system on this </w:t>
      </w:r>
      <w:r w:rsidR="00A62686">
        <w:rPr>
          <w:color w:val="000000" w:themeColor="text1"/>
        </w:rPr>
        <w:t>12</w:t>
      </w:r>
      <w:r w:rsidR="00A62686" w:rsidRPr="00A62686">
        <w:rPr>
          <w:color w:val="000000" w:themeColor="text1"/>
          <w:vertAlign w:val="superscript"/>
        </w:rPr>
        <w:t>th</w:t>
      </w:r>
      <w:r w:rsidR="00A62686">
        <w:rPr>
          <w:color w:val="000000" w:themeColor="text1"/>
        </w:rPr>
        <w:t xml:space="preserve"> </w:t>
      </w:r>
      <w:r w:rsidRPr="00470B29">
        <w:rPr>
          <w:color w:val="000000" w:themeColor="text1"/>
        </w:rPr>
        <w:t xml:space="preserve">day of </w:t>
      </w:r>
      <w:r w:rsidR="00E90638">
        <w:rPr>
          <w:color w:val="000000" w:themeColor="text1"/>
        </w:rPr>
        <w:t>December</w:t>
      </w:r>
      <w:r w:rsidRPr="00470B29">
        <w:rPr>
          <w:color w:val="000000" w:themeColor="text1"/>
        </w:rPr>
        <w:t xml:space="preserve"> 2018.</w:t>
      </w:r>
    </w:p>
    <w:p w:rsidR="00A52AEA" w:rsidRPr="00470B29" w:rsidRDefault="00A52AEA" w:rsidP="00A52AEA">
      <w:pPr>
        <w:rPr>
          <w:color w:val="000000" w:themeColor="text1"/>
        </w:rPr>
      </w:pPr>
    </w:p>
    <w:p w:rsidR="00A52AEA" w:rsidRPr="00470B29" w:rsidRDefault="00A52AEA" w:rsidP="00A52AEA">
      <w:pPr>
        <w:rPr>
          <w:color w:val="000000" w:themeColor="text1"/>
        </w:rPr>
      </w:pP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u w:val="single"/>
        </w:rPr>
        <w:t xml:space="preserve">/s/ Daniel C. Scialpi </w:t>
      </w:r>
      <w:r w:rsidRPr="00470B29">
        <w:rPr>
          <w:color w:val="000000" w:themeColor="text1"/>
          <w:u w:val="single"/>
        </w:rPr>
        <w:tab/>
      </w:r>
      <w:r w:rsidRPr="00470B29">
        <w:rPr>
          <w:color w:val="000000" w:themeColor="text1"/>
          <w:u w:val="single"/>
        </w:rPr>
        <w:tab/>
      </w:r>
    </w:p>
    <w:p w:rsidR="00A52AEA" w:rsidRPr="00470B29" w:rsidRDefault="00A52AEA" w:rsidP="00A52AEA">
      <w:pPr>
        <w:sectPr w:rsidR="00A52AEA" w:rsidRPr="00470B29" w:rsidSect="00885D90">
          <w:footerReference w:type="default" r:id="rId15"/>
          <w:pgSz w:w="12240" w:h="15840"/>
          <w:pgMar w:top="1440" w:right="1440" w:bottom="1440" w:left="1440" w:header="0" w:footer="576" w:gutter="0"/>
          <w:cols w:space="720"/>
          <w:titlePg/>
          <w:docGrid w:linePitch="326"/>
        </w:sectPr>
      </w:pPr>
    </w:p>
    <w:p w:rsidR="00A52AEA" w:rsidRPr="00470B29" w:rsidRDefault="00A52AEA" w:rsidP="00A52AEA">
      <w:pPr>
        <w:jc w:val="center"/>
        <w:rPr>
          <w:b/>
          <w:color w:val="000000" w:themeColor="text1"/>
        </w:rPr>
      </w:pPr>
      <w:r w:rsidRPr="00470B29">
        <w:rPr>
          <w:b/>
          <w:color w:val="000000" w:themeColor="text1"/>
        </w:rPr>
        <w:lastRenderedPageBreak/>
        <w:t>SUPERIOR COURT FOR THE DISTRICT OF COLUMBIA</w:t>
      </w:r>
    </w:p>
    <w:p w:rsidR="00A52AEA" w:rsidRPr="00470B29" w:rsidRDefault="00A52AEA" w:rsidP="00A52AEA">
      <w:pPr>
        <w:jc w:val="center"/>
        <w:rPr>
          <w:b/>
          <w:color w:val="000000" w:themeColor="text1"/>
        </w:rPr>
      </w:pPr>
      <w:r w:rsidRPr="00470B29">
        <w:rPr>
          <w:b/>
          <w:color w:val="000000" w:themeColor="text1"/>
        </w:rPr>
        <w:t>CIVIL DIVISION</w:t>
      </w:r>
    </w:p>
    <w:p w:rsidR="00A52AEA" w:rsidRPr="00470B29" w:rsidRDefault="00A52AEA" w:rsidP="00A52AEA">
      <w:pPr>
        <w:rPr>
          <w:color w:val="000000" w:themeColor="text1"/>
        </w:rPr>
      </w:pPr>
    </w:p>
    <w:p w:rsidR="00A52AEA" w:rsidRPr="00470B29" w:rsidRDefault="00A52AEA" w:rsidP="00A52AEA">
      <w:pPr>
        <w:rPr>
          <w:b/>
          <w:color w:val="000000" w:themeColor="text1"/>
        </w:rPr>
      </w:pPr>
      <w:r w:rsidRPr="00470B29">
        <w:rPr>
          <w:b/>
          <w:color w:val="000000" w:themeColor="text1"/>
        </w:rPr>
        <w:t xml:space="preserve">Christine Gambino, </w:t>
      </w:r>
      <w:r w:rsidRPr="00470B29">
        <w:rPr>
          <w:b/>
          <w:i/>
          <w:color w:val="000000" w:themeColor="text1"/>
        </w:rPr>
        <w:t>et al.</w:t>
      </w:r>
      <w:r w:rsidRPr="00470B29">
        <w:rPr>
          <w:b/>
          <w:color w:val="000000" w:themeColor="text1"/>
        </w:rPr>
        <w:t xml:space="preserve">, </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 xml:space="preserve">: </w:t>
      </w:r>
    </w:p>
    <w:p w:rsidR="00A52AEA" w:rsidRPr="00470B29" w:rsidRDefault="00A52AEA" w:rsidP="00A52AEA">
      <w:pPr>
        <w:rPr>
          <w:b/>
          <w:color w:val="000000" w:themeColor="text1"/>
        </w:rPr>
      </w:pP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b/>
          <w:color w:val="000000" w:themeColor="text1"/>
        </w:rPr>
        <w:t>:</w:t>
      </w:r>
    </w:p>
    <w:p w:rsidR="00A52AEA" w:rsidRPr="00470B29" w:rsidRDefault="00A52AEA" w:rsidP="00A52AEA">
      <w:pPr>
        <w:ind w:firstLine="720"/>
        <w:rPr>
          <w:b/>
          <w:color w:val="000000" w:themeColor="text1"/>
        </w:rPr>
      </w:pPr>
      <w:r w:rsidRPr="00470B29">
        <w:rPr>
          <w:b/>
          <w:color w:val="000000" w:themeColor="text1"/>
        </w:rPr>
        <w:t>Plaintiffs,</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w:t>
      </w:r>
    </w:p>
    <w:p w:rsidR="00A52AEA" w:rsidRPr="00470B29" w:rsidRDefault="00A52AEA" w:rsidP="00A52AEA">
      <w:pPr>
        <w:rPr>
          <w:b/>
          <w:color w:val="000000" w:themeColor="text1"/>
        </w:rPr>
      </w:pP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b/>
          <w:color w:val="000000" w:themeColor="text1"/>
        </w:rPr>
        <w:t>:       Case No. 2016 CA 001884 M</w:t>
      </w:r>
    </w:p>
    <w:p w:rsidR="00A52AEA" w:rsidRPr="00470B29" w:rsidRDefault="00A52AEA" w:rsidP="00A52AEA">
      <w:pPr>
        <w:rPr>
          <w:b/>
          <w:color w:val="000000" w:themeColor="text1"/>
        </w:rPr>
      </w:pPr>
      <w:r w:rsidRPr="00470B29">
        <w:rPr>
          <w:b/>
          <w:color w:val="000000" w:themeColor="text1"/>
        </w:rPr>
        <w:t>v.</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 xml:space="preserve">:       Hon. Hiram Puig-Lugo  </w:t>
      </w:r>
    </w:p>
    <w:p w:rsidR="00A52AEA" w:rsidRPr="00470B29" w:rsidRDefault="00A52AEA" w:rsidP="00A52AEA">
      <w:pPr>
        <w:rPr>
          <w:b/>
          <w:color w:val="000000" w:themeColor="text1"/>
        </w:rPr>
      </w:pP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 xml:space="preserve">:       </w:t>
      </w:r>
    </w:p>
    <w:p w:rsidR="00A52AEA" w:rsidRPr="00470B29" w:rsidRDefault="00A52AEA" w:rsidP="00A52AEA">
      <w:pPr>
        <w:rPr>
          <w:b/>
          <w:color w:val="000000" w:themeColor="text1"/>
        </w:rPr>
      </w:pPr>
      <w:r w:rsidRPr="00470B29">
        <w:rPr>
          <w:b/>
          <w:color w:val="000000" w:themeColor="text1"/>
        </w:rPr>
        <w:t>MedStar Georgetown Medical Center Inc.,</w:t>
      </w:r>
      <w:r w:rsidRPr="00470B29">
        <w:rPr>
          <w:b/>
          <w:color w:val="000000" w:themeColor="text1"/>
        </w:rPr>
        <w:tab/>
        <w:t xml:space="preserve">:      </w:t>
      </w:r>
    </w:p>
    <w:p w:rsidR="00A52AEA" w:rsidRPr="00470B29" w:rsidRDefault="00A52AEA" w:rsidP="00A52AEA">
      <w:pPr>
        <w:rPr>
          <w:b/>
          <w:color w:val="000000" w:themeColor="text1"/>
        </w:rPr>
      </w:pPr>
      <w:r w:rsidRPr="00470B29">
        <w:rPr>
          <w:b/>
          <w:color w:val="000000" w:themeColor="text1"/>
        </w:rPr>
        <w:t>d/b/a MedStar Georgetown University Hospital,</w:t>
      </w:r>
      <w:r w:rsidRPr="00470B29">
        <w:rPr>
          <w:b/>
          <w:color w:val="000000" w:themeColor="text1"/>
        </w:rPr>
        <w:tab/>
        <w:t xml:space="preserve">:      </w:t>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color w:val="000000" w:themeColor="text1"/>
        </w:rPr>
        <w:tab/>
      </w:r>
      <w:r w:rsidRPr="00470B29">
        <w:rPr>
          <w:b/>
          <w:color w:val="000000" w:themeColor="text1"/>
        </w:rPr>
        <w:t xml:space="preserve">:       </w:t>
      </w:r>
    </w:p>
    <w:p w:rsidR="00A52AEA" w:rsidRPr="00470B29" w:rsidRDefault="00A52AEA" w:rsidP="00A52AEA">
      <w:pPr>
        <w:pBdr>
          <w:bottom w:val="single" w:sz="12" w:space="1" w:color="auto"/>
        </w:pBdr>
        <w:spacing w:before="11"/>
        <w:ind w:firstLine="720"/>
        <w:rPr>
          <w:b/>
          <w:color w:val="000000" w:themeColor="text1"/>
        </w:rPr>
      </w:pPr>
      <w:r w:rsidRPr="00470B29">
        <w:rPr>
          <w:b/>
          <w:color w:val="000000" w:themeColor="text1"/>
        </w:rPr>
        <w:t>Defendant.</w:t>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w:t>
      </w:r>
    </w:p>
    <w:p w:rsidR="00A52AEA" w:rsidRPr="00470B29" w:rsidRDefault="00A52AEA" w:rsidP="00A52AEA">
      <w:pPr>
        <w:pBdr>
          <w:bottom w:val="single" w:sz="12" w:space="1" w:color="auto"/>
        </w:pBdr>
        <w:spacing w:before="11"/>
        <w:ind w:firstLine="720"/>
        <w:rPr>
          <w:b/>
          <w:color w:val="000000" w:themeColor="text1"/>
        </w:rPr>
      </w:pP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t>:</w:t>
      </w:r>
    </w:p>
    <w:p w:rsidR="00A52AEA" w:rsidRPr="00470B29" w:rsidRDefault="00A52AEA" w:rsidP="00A52AEA">
      <w:pPr>
        <w:spacing w:before="11"/>
        <w:rPr>
          <w:color w:val="000000" w:themeColor="text1"/>
        </w:rPr>
      </w:pP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r w:rsidRPr="00470B29">
        <w:rPr>
          <w:b/>
          <w:color w:val="000000" w:themeColor="text1"/>
        </w:rPr>
        <w:tab/>
      </w:r>
    </w:p>
    <w:p w:rsidR="00A52AEA" w:rsidRPr="00470B29" w:rsidRDefault="00A52AEA" w:rsidP="00A52AEA"/>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480" w:lineRule="auto"/>
        <w:jc w:val="center"/>
      </w:pPr>
      <w:r w:rsidRPr="00470B29">
        <w:rPr>
          <w:b/>
          <w:u w:val="single"/>
        </w:rPr>
        <w:t>ORDER</w:t>
      </w:r>
    </w:p>
    <w:p w:rsidR="00A52AEA" w:rsidRPr="00E80E66" w:rsidRDefault="00A52AEA" w:rsidP="00E80E66">
      <w:pPr>
        <w:spacing w:line="480" w:lineRule="auto"/>
        <w:ind w:firstLine="720"/>
        <w:rPr>
          <w:color w:val="000000" w:themeColor="text1"/>
        </w:rPr>
      </w:pPr>
      <w:r w:rsidRPr="00470B29">
        <w:t>UPON CON</w:t>
      </w:r>
      <w:r w:rsidR="0016230C">
        <w:t>SIDERATION of the Defendant’s</w:t>
      </w:r>
      <w:r w:rsidR="00E80E66">
        <w:t xml:space="preserve"> </w:t>
      </w:r>
      <w:r w:rsidR="00E80E66">
        <w:rPr>
          <w:color w:val="000000" w:themeColor="text1"/>
        </w:rPr>
        <w:t>Motion for Judgment as a Matter of Law or New Trial o</w:t>
      </w:r>
      <w:r w:rsidR="00E80E66" w:rsidRPr="00E80E66">
        <w:rPr>
          <w:color w:val="000000" w:themeColor="text1"/>
        </w:rPr>
        <w:t>r Remittitur</w:t>
      </w:r>
      <w:r w:rsidR="00E80E66">
        <w:rPr>
          <w:color w:val="000000" w:themeColor="text1"/>
        </w:rPr>
        <w:t xml:space="preserve">, </w:t>
      </w:r>
      <w:r w:rsidRPr="00470B29">
        <w:t>and Plaintiffs’ Opposition thereto, and it appearing that good cause is lacking for the granting of said Motion, it this ____</w:t>
      </w:r>
      <w:r w:rsidR="0016230C">
        <w:t>_ day of _________________, 20____</w:t>
      </w:r>
      <w:r w:rsidRPr="00470B29">
        <w:t>, hereby</w:t>
      </w: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480" w:lineRule="auto"/>
        <w:ind w:firstLine="720"/>
      </w:pPr>
      <w:r w:rsidRPr="00470B29">
        <w:t>ORDERED that the Motion be and is hereby DENIED.</w:t>
      </w: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480" w:lineRule="auto"/>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r w:rsidRPr="00470B29">
        <w:t>Date_______________________________</w:t>
      </w:r>
      <w:r w:rsidRPr="00470B29">
        <w:tab/>
        <w:t xml:space="preserve">                       ______________________________</w:t>
      </w: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5760"/>
      </w:pPr>
      <w:r w:rsidRPr="00470B29">
        <w:t>Hon. Hiram Puig-Lugo</w:t>
      </w: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ind w:firstLine="5760"/>
      </w:pPr>
      <w:r w:rsidRPr="00470B29">
        <w:t>D.C. Superior Court</w:t>
      </w: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i/>
        </w:rPr>
      </w:pPr>
      <w:r w:rsidRPr="00470B29">
        <w:rPr>
          <w:i/>
        </w:rPr>
        <w:t>Copies to all parties via Case File Express</w:t>
      </w: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2AEA" w:rsidRPr="00470B29" w:rsidRDefault="00A52AEA" w:rsidP="00A52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pPr>
    </w:p>
    <w:p w:rsidR="00A55839" w:rsidRPr="00470B29" w:rsidRDefault="00A55839" w:rsidP="0036308D">
      <w:pPr>
        <w:rPr>
          <w:color w:val="000000" w:themeColor="text1"/>
        </w:rPr>
      </w:pPr>
    </w:p>
    <w:sectPr w:rsidR="00A55839" w:rsidRPr="00470B29" w:rsidSect="006C479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6D" w:rsidRDefault="004D036D" w:rsidP="00520E4D">
      <w:r>
        <w:separator/>
      </w:r>
    </w:p>
  </w:endnote>
  <w:endnote w:type="continuationSeparator" w:id="0">
    <w:p w:rsidR="004D036D" w:rsidRDefault="004D036D" w:rsidP="005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2EFF" w:usb1="C000785B"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4734"/>
      <w:docPartObj>
        <w:docPartGallery w:val="Page Numbers (Bottom of Page)"/>
        <w:docPartUnique/>
      </w:docPartObj>
    </w:sdtPr>
    <w:sdtEndPr>
      <w:rPr>
        <w:noProof/>
      </w:rPr>
    </w:sdtEndPr>
    <w:sdtContent>
      <w:p w:rsidR="00885D90" w:rsidRDefault="00885D90">
        <w:pPr>
          <w:pStyle w:val="Footer"/>
          <w:jc w:val="center"/>
        </w:pPr>
        <w:r>
          <w:fldChar w:fldCharType="begin"/>
        </w:r>
        <w:r>
          <w:instrText xml:space="preserve"> PAGE   \* MERGEFORMAT </w:instrText>
        </w:r>
        <w:r>
          <w:fldChar w:fldCharType="separate"/>
        </w:r>
        <w:r w:rsidR="00335173">
          <w:rPr>
            <w:noProof/>
          </w:rPr>
          <w:t>24</w:t>
        </w:r>
        <w:r>
          <w:rPr>
            <w:noProof/>
          </w:rPr>
          <w:fldChar w:fldCharType="end"/>
        </w:r>
      </w:p>
    </w:sdtContent>
  </w:sdt>
  <w:p w:rsidR="00885D90" w:rsidRDefault="00885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488462"/>
      <w:docPartObj>
        <w:docPartGallery w:val="Page Numbers (Bottom of Page)"/>
        <w:docPartUnique/>
      </w:docPartObj>
    </w:sdtPr>
    <w:sdtEndPr>
      <w:rPr>
        <w:noProof/>
      </w:rPr>
    </w:sdtEndPr>
    <w:sdtContent>
      <w:p w:rsidR="00167B93" w:rsidRDefault="00167B93">
        <w:pPr>
          <w:pStyle w:val="Footer"/>
          <w:jc w:val="center"/>
        </w:pPr>
        <w:r>
          <w:fldChar w:fldCharType="begin"/>
        </w:r>
        <w:r>
          <w:instrText xml:space="preserve"> PAGE   \* MERGEFORMAT </w:instrText>
        </w:r>
        <w:r>
          <w:fldChar w:fldCharType="separate"/>
        </w:r>
        <w:r w:rsidR="000F6B6F">
          <w:rPr>
            <w:noProof/>
          </w:rPr>
          <w:t>26</w:t>
        </w:r>
        <w:r>
          <w:rPr>
            <w:noProof/>
          </w:rPr>
          <w:fldChar w:fldCharType="end"/>
        </w:r>
      </w:p>
    </w:sdtContent>
  </w:sdt>
  <w:p w:rsidR="00167B93" w:rsidRDefault="00167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6D" w:rsidRDefault="004D036D" w:rsidP="00520E4D">
      <w:r>
        <w:separator/>
      </w:r>
    </w:p>
  </w:footnote>
  <w:footnote w:type="continuationSeparator" w:id="0">
    <w:p w:rsidR="004D036D" w:rsidRDefault="004D036D" w:rsidP="00520E4D">
      <w:r>
        <w:continuationSeparator/>
      </w:r>
    </w:p>
  </w:footnote>
  <w:footnote w:id="1">
    <w:p w:rsidR="001D3598" w:rsidRDefault="001D3598" w:rsidP="000F6B6F">
      <w:pPr>
        <w:pStyle w:val="FootnoteText"/>
        <w:widowControl w:val="0"/>
        <w:rPr>
          <w:color w:val="000000" w:themeColor="text1"/>
        </w:rPr>
      </w:pPr>
      <w:r>
        <w:rPr>
          <w:rStyle w:val="FootnoteReference"/>
          <w:color w:val="000000" w:themeColor="text1"/>
        </w:rPr>
        <w:footnoteRef/>
      </w:r>
      <w:r>
        <w:rPr>
          <w:color w:val="000000" w:themeColor="text1"/>
        </w:rPr>
        <w:t xml:space="preserve"> </w:t>
      </w:r>
      <w:r>
        <w:rPr>
          <w:i/>
          <w:color w:val="000000" w:themeColor="text1"/>
        </w:rPr>
        <w:t>District of Columbia v. Hawkins,</w:t>
      </w:r>
      <w:r>
        <w:rPr>
          <w:color w:val="000000" w:themeColor="text1"/>
        </w:rPr>
        <w:t xml:space="preserve"> 782 A.2d 293, 304 (D.C. 2001): “</w:t>
      </w:r>
      <w:r>
        <w:rPr>
          <w:rFonts w:eastAsia="Arial"/>
          <w:color w:val="000000" w:themeColor="text1"/>
        </w:rPr>
        <w:t>Only where the verdict is so excessive as to shock the conscience will a substantial remittitur or new trial be warranted.”</w:t>
      </w:r>
    </w:p>
  </w:footnote>
  <w:footnote w:id="2">
    <w:p w:rsidR="001D3598" w:rsidRPr="00FE32A0" w:rsidRDefault="001D3598" w:rsidP="000F6B6F">
      <w:pPr>
        <w:widowControl w:val="0"/>
        <w:spacing w:before="100" w:beforeAutospacing="1" w:after="100" w:afterAutospacing="1"/>
        <w:rPr>
          <w:rFonts w:eastAsia="Times New Roman"/>
          <w:color w:val="000000" w:themeColor="text1"/>
          <w:bdr w:val="none" w:sz="0" w:space="0" w:color="auto" w:frame="1"/>
          <w:shd w:val="clear" w:color="auto" w:fill="FFFFFF"/>
        </w:rPr>
      </w:pPr>
      <w:r>
        <w:rPr>
          <w:rStyle w:val="FootnoteReference"/>
          <w:color w:val="000000" w:themeColor="text1"/>
        </w:rPr>
        <w:footnoteRef/>
      </w:r>
      <w:r>
        <w:rPr>
          <w:color w:val="000000" w:themeColor="text1"/>
        </w:rPr>
        <w:t xml:space="preserve"> </w:t>
      </w:r>
      <w:r>
        <w:rPr>
          <w:i/>
          <w:color w:val="000000" w:themeColor="text1"/>
        </w:rPr>
        <w:t>Capitol Hill Hospital v. Jones,</w:t>
      </w:r>
      <w:r>
        <w:rPr>
          <w:color w:val="000000" w:themeColor="text1"/>
        </w:rPr>
        <w:t xml:space="preserve"> 532 A.2d 89, 93 (D.C. 1987), quoting </w:t>
      </w:r>
      <w:hyperlink r:id="rId1" w:history="1">
        <w:r w:rsidRPr="00FE32A0">
          <w:rPr>
            <w:rStyle w:val="Hyperlink"/>
            <w:rFonts w:eastAsia="Times New Roman"/>
            <w:i/>
            <w:iCs/>
            <w:color w:val="000000" w:themeColor="text1"/>
            <w:u w:val="none"/>
            <w:bdr w:val="none" w:sz="0" w:space="0" w:color="auto" w:frame="1"/>
            <w:shd w:val="clear" w:color="auto" w:fill="FFFFFF"/>
          </w:rPr>
          <w:t>May Department Stores v. Devercelli</w:t>
        </w:r>
        <w:r w:rsidRPr="00FE32A0">
          <w:rPr>
            <w:rStyle w:val="Hyperlink"/>
            <w:rFonts w:eastAsia="Times New Roman"/>
            <w:color w:val="000000" w:themeColor="text1"/>
            <w:u w:val="none"/>
            <w:bdr w:val="none" w:sz="0" w:space="0" w:color="auto" w:frame="1"/>
            <w:shd w:val="clear" w:color="auto" w:fill="FFFFFF"/>
          </w:rPr>
          <w:t>, 314 A.2d 767, 775 (D.C. 1973)</w:t>
        </w:r>
      </w:hyperlink>
    </w:p>
  </w:footnote>
  <w:footnote w:id="3">
    <w:p w:rsidR="001D3598" w:rsidRDefault="001D3598" w:rsidP="001D3598">
      <w:pPr>
        <w:pStyle w:val="FootnoteText"/>
        <w:rPr>
          <w:rFonts w:eastAsia="Arial"/>
          <w:color w:val="000000" w:themeColor="text1"/>
        </w:rPr>
      </w:pPr>
      <w:r>
        <w:rPr>
          <w:rStyle w:val="FootnoteReference"/>
          <w:color w:val="000000" w:themeColor="text1"/>
        </w:rPr>
        <w:footnoteRef/>
      </w:r>
      <w:r>
        <w:rPr>
          <w:color w:val="000000" w:themeColor="text1"/>
        </w:rPr>
        <w:t xml:space="preserve"> </w:t>
      </w:r>
      <w:hyperlink r:id="rId2" w:history="1">
        <w:r w:rsidRPr="00FE32A0">
          <w:rPr>
            <w:rStyle w:val="Hyperlink"/>
            <w:rFonts w:eastAsia="Arial"/>
            <w:i/>
            <w:color w:val="000000" w:themeColor="text1"/>
            <w:u w:val="none"/>
          </w:rPr>
          <w:t>Taylor v. Washington Terminal Co.</w:t>
        </w:r>
      </w:hyperlink>
      <w:hyperlink r:id="rId3" w:history="1">
        <w:r w:rsidRPr="00FE32A0">
          <w:rPr>
            <w:rStyle w:val="Hyperlink"/>
            <w:rFonts w:eastAsia="Arial"/>
            <w:color w:val="000000" w:themeColor="text1"/>
            <w:u w:val="none"/>
          </w:rPr>
          <w:t>, 133 U.S. App. D.C. 110, 113 n.9, 409 F.2d 145, 148 n.9</w:t>
        </w:r>
      </w:hyperlink>
      <w:r w:rsidRPr="00FE32A0">
        <w:rPr>
          <w:rFonts w:eastAsia="Arial"/>
          <w:color w:val="000000" w:themeColor="text1"/>
        </w:rPr>
        <w:t xml:space="preserve">, cert. denied, </w:t>
      </w:r>
      <w:bookmarkStart w:id="1" w:name="Bookmark_I4FNP36M0K1MNJ19M0000400"/>
      <w:bookmarkEnd w:id="1"/>
      <w:r w:rsidRPr="00FE32A0">
        <w:rPr>
          <w:rFonts w:eastAsia="Arial"/>
          <w:color w:val="000000" w:themeColor="text1"/>
        </w:rPr>
        <w:t xml:space="preserve">396 U.S. 835 (1969); </w:t>
      </w:r>
      <w:bookmarkStart w:id="2" w:name="Bookmark_I4FNP36M0K1MNJ19P0000400"/>
      <w:bookmarkEnd w:id="2"/>
      <w:r w:rsidRPr="00FE32A0">
        <w:rPr>
          <w:rFonts w:eastAsia="Arial"/>
          <w:i/>
          <w:color w:val="000000" w:themeColor="text1"/>
        </w:rPr>
        <w:fldChar w:fldCharType="begin"/>
      </w:r>
      <w:r w:rsidRPr="00FE32A0">
        <w:rPr>
          <w:rFonts w:eastAsia="Arial"/>
          <w:i/>
          <w:color w:val="000000" w:themeColor="text1"/>
        </w:rPr>
        <w:instrText xml:space="preserve"> HYPERLINK "https://advance.lexis.com/api/document?collection=cases&amp;id=urn:contentItem:3RRT-B800-003G-13S6-00000-00&amp;context=" </w:instrText>
      </w:r>
      <w:r w:rsidRPr="00FE32A0">
        <w:rPr>
          <w:rFonts w:eastAsia="Arial"/>
          <w:i/>
          <w:color w:val="000000" w:themeColor="text1"/>
        </w:rPr>
        <w:fldChar w:fldCharType="separate"/>
      </w:r>
      <w:r w:rsidRPr="00FE32A0">
        <w:rPr>
          <w:rStyle w:val="Hyperlink"/>
          <w:rFonts w:eastAsia="Arial"/>
          <w:i/>
          <w:color w:val="000000" w:themeColor="text1"/>
          <w:u w:val="none"/>
        </w:rPr>
        <w:t>City Stores Co. v. Gibson</w:t>
      </w:r>
      <w:r w:rsidRPr="00FE32A0">
        <w:rPr>
          <w:rFonts w:eastAsia="Arial"/>
          <w:i/>
          <w:color w:val="000000" w:themeColor="text1"/>
        </w:rPr>
        <w:fldChar w:fldCharType="end"/>
      </w:r>
      <w:hyperlink r:id="rId4" w:history="1">
        <w:r w:rsidRPr="00FE32A0">
          <w:rPr>
            <w:rStyle w:val="Hyperlink"/>
            <w:rFonts w:eastAsia="Arial"/>
            <w:color w:val="000000" w:themeColor="text1"/>
            <w:u w:val="none"/>
          </w:rPr>
          <w:t>, 263 A.2d 252, 252-53 (D.C. 1970)</w:t>
        </w:r>
      </w:hyperlink>
      <w:r w:rsidRPr="00FE32A0">
        <w:rPr>
          <w:rFonts w:eastAsia="Arial"/>
          <w:color w:val="000000" w:themeColor="text1"/>
        </w:rPr>
        <w:t>.</w:t>
      </w:r>
    </w:p>
    <w:p w:rsidR="00DE2B40" w:rsidRPr="00FE32A0" w:rsidRDefault="00DE2B40" w:rsidP="001D3598">
      <w:pPr>
        <w:pStyle w:val="FootnoteText"/>
        <w:rPr>
          <w:rFonts w:eastAsia="Arial"/>
          <w:color w:val="000000" w:themeColor="text1"/>
        </w:rPr>
      </w:pPr>
    </w:p>
  </w:footnote>
  <w:footnote w:id="4">
    <w:p w:rsidR="001D3598" w:rsidRDefault="001D3598" w:rsidP="001D3598">
      <w:r>
        <w:rPr>
          <w:rStyle w:val="FootnoteReference"/>
        </w:rPr>
        <w:footnoteRef/>
      </w:r>
      <w:r>
        <w:t xml:space="preserve"> </w:t>
      </w:r>
      <w:r>
        <w:rPr>
          <w:rFonts w:eastAsia="Times New Roman"/>
          <w:i/>
          <w:iCs/>
          <w:color w:val="000000"/>
        </w:rPr>
        <w:t>District of Columbia v. Murtaugh,</w:t>
      </w:r>
      <w:r>
        <w:rPr>
          <w:rStyle w:val="apple-converted-space"/>
          <w:rFonts w:eastAsia="Times New Roman"/>
          <w:i/>
          <w:iCs/>
          <w:color w:val="000000"/>
        </w:rPr>
        <w:t> </w:t>
      </w:r>
      <w:r>
        <w:rPr>
          <w:rFonts w:eastAsia="Times New Roman"/>
          <w:color w:val="000000"/>
        </w:rPr>
        <w:t>728 A.2d 1237, 1241</w:t>
      </w:r>
      <w:r>
        <w:rPr>
          <w:rFonts w:eastAsia="Times New Roman"/>
          <w:i/>
          <w:iCs/>
          <w:color w:val="000000"/>
        </w:rPr>
        <w:t> </w:t>
      </w:r>
      <w:r>
        <w:rPr>
          <w:rFonts w:eastAsia="Times New Roman"/>
          <w:color w:val="000000"/>
        </w:rPr>
        <w:t>(D.C. 1999) (overruled on other grounds):</w:t>
      </w:r>
      <w:r>
        <w:t xml:space="preserve"> “Before granting a motion for a new trial, the court must find that the verdict is against the weight of the evidence, or that there would be a miscarriage of justice if th</w:t>
      </w:r>
      <w:r w:rsidR="0046650F">
        <w:t xml:space="preserve">e verdict is allowed to stand. </w:t>
      </w:r>
      <w:r>
        <w:t xml:space="preserve">An excessive verdict is one which is “beyond all reason, or is so great as to shock the conscience. </w:t>
      </w:r>
      <w:r>
        <w:rPr>
          <w:i/>
        </w:rPr>
        <w:t>Wingfield v. People’s Drug Stores Inc.</w:t>
      </w:r>
      <w:r>
        <w:t>, 379 A.2d 685, 687 (D.C. 1977).”</w:t>
      </w:r>
      <w:r>
        <w:rPr>
          <w:i/>
        </w:rPr>
        <w:t xml:space="preserve"> </w:t>
      </w:r>
      <w:r>
        <w:rPr>
          <w:rFonts w:eastAsia="Times New Roman"/>
          <w:color w:val="000000"/>
          <w:shd w:val="clear" w:color="auto" w:fill="EBEDEE"/>
        </w:rPr>
        <w:t xml:space="preserve"> </w:t>
      </w:r>
    </w:p>
    <w:p w:rsidR="001D3598" w:rsidRDefault="001D3598" w:rsidP="001D3598">
      <w:pPr>
        <w:pStyle w:val="FootnoteText"/>
      </w:pPr>
    </w:p>
  </w:footnote>
  <w:footnote w:id="5">
    <w:p w:rsidR="001D3598" w:rsidRDefault="001D3598" w:rsidP="001D3598">
      <w:pPr>
        <w:pStyle w:val="FootnoteText"/>
      </w:pPr>
      <w:r>
        <w:rPr>
          <w:rStyle w:val="FootnoteReference"/>
        </w:rPr>
        <w:footnoteRef/>
      </w:r>
      <w:r>
        <w:t xml:space="preserve"> See also </w:t>
      </w:r>
      <w:r>
        <w:rPr>
          <w:i/>
        </w:rPr>
        <w:t xml:space="preserve">Croley v. Republican Nat’l Committee, </w:t>
      </w:r>
      <w:r>
        <w:t>759 A.2d 682, 703 (D.C. 2000), in which the appellate court quoted with approval the trial judge’s rationale in refusing to reduce the verdict: “</w:t>
      </w:r>
      <w:r>
        <w:rPr>
          <w:rFonts w:eastAsia="Arial"/>
          <w:color w:val="000000"/>
        </w:rPr>
        <w:t xml:space="preserve">Trial courts have historically given great weight to jury verdicts. [Citation omitted.] And when parties have chosen the jury process as the means of resolving a legal dispute, it only seems proper for the court to afford significant deference to the collective wisdom of the jury.” </w:t>
      </w:r>
    </w:p>
  </w:footnote>
  <w:footnote w:id="6">
    <w:p w:rsidR="001D3598" w:rsidRDefault="001D3598" w:rsidP="001D3598">
      <w:pPr>
        <w:pStyle w:val="FootnoteText"/>
      </w:pPr>
      <w:r>
        <w:rPr>
          <w:rStyle w:val="FootnoteReference"/>
        </w:rPr>
        <w:footnoteRef/>
      </w:r>
      <w:r>
        <w:t xml:space="preserve">  See </w:t>
      </w:r>
      <w:r>
        <w:rPr>
          <w:i/>
        </w:rPr>
        <w:t>Hechinger Co. v. Johnson</w:t>
      </w:r>
      <w:r>
        <w:t xml:space="preserve">, 761 A.2d 15 (D.C. 2000), where the court rejected a contention of an excessive verdict, ruling among other reasons that the jury was properly instructed on the measure of damages and is presumed to follow its instructions. As noted below, the court in </w:t>
      </w:r>
      <w:r>
        <w:rPr>
          <w:i/>
        </w:rPr>
        <w:t xml:space="preserve">Hechinger </w:t>
      </w:r>
      <w:r>
        <w:t xml:space="preserve">also affirmed plaintiff’s use of a </w:t>
      </w:r>
      <w:r>
        <w:rPr>
          <w:i/>
        </w:rPr>
        <w:t xml:space="preserve">Colston </w:t>
      </w:r>
      <w:r>
        <w:t>argument in closing.</w:t>
      </w:r>
    </w:p>
    <w:p w:rsidR="001D3598" w:rsidRDefault="001D3598" w:rsidP="001D35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0A5"/>
    <w:multiLevelType w:val="hybridMultilevel"/>
    <w:tmpl w:val="1AF0D586"/>
    <w:lvl w:ilvl="0" w:tplc="DAAA6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44CAE"/>
    <w:multiLevelType w:val="hybridMultilevel"/>
    <w:tmpl w:val="4E3492E8"/>
    <w:lvl w:ilvl="0" w:tplc="8F6CA03A">
      <w:start w:val="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491"/>
    <w:multiLevelType w:val="hybridMultilevel"/>
    <w:tmpl w:val="DE3C5806"/>
    <w:lvl w:ilvl="0" w:tplc="688C459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A72F7"/>
    <w:multiLevelType w:val="hybridMultilevel"/>
    <w:tmpl w:val="A3C42C60"/>
    <w:lvl w:ilvl="0" w:tplc="18CEF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56BE4"/>
    <w:multiLevelType w:val="hybridMultilevel"/>
    <w:tmpl w:val="C952D3CC"/>
    <w:lvl w:ilvl="0" w:tplc="E514E59A">
      <w:start w:val="1"/>
      <w:numFmt w:val="decimal"/>
      <w:lvlText w:val="%1."/>
      <w:lvlJc w:val="left"/>
      <w:pPr>
        <w:tabs>
          <w:tab w:val="num" w:pos="720"/>
        </w:tabs>
        <w:ind w:left="720" w:hanging="360"/>
      </w:pPr>
    </w:lvl>
    <w:lvl w:ilvl="1" w:tplc="F0BE4AF8" w:tentative="1">
      <w:start w:val="1"/>
      <w:numFmt w:val="decimal"/>
      <w:lvlText w:val="%2."/>
      <w:lvlJc w:val="left"/>
      <w:pPr>
        <w:tabs>
          <w:tab w:val="num" w:pos="1440"/>
        </w:tabs>
        <w:ind w:left="1440" w:hanging="360"/>
      </w:pPr>
    </w:lvl>
    <w:lvl w:ilvl="2" w:tplc="6DBE9464" w:tentative="1">
      <w:start w:val="1"/>
      <w:numFmt w:val="decimal"/>
      <w:lvlText w:val="%3."/>
      <w:lvlJc w:val="left"/>
      <w:pPr>
        <w:tabs>
          <w:tab w:val="num" w:pos="2160"/>
        </w:tabs>
        <w:ind w:left="2160" w:hanging="360"/>
      </w:pPr>
    </w:lvl>
    <w:lvl w:ilvl="3" w:tplc="2C144D58" w:tentative="1">
      <w:start w:val="1"/>
      <w:numFmt w:val="decimal"/>
      <w:lvlText w:val="%4."/>
      <w:lvlJc w:val="left"/>
      <w:pPr>
        <w:tabs>
          <w:tab w:val="num" w:pos="2880"/>
        </w:tabs>
        <w:ind w:left="2880" w:hanging="360"/>
      </w:pPr>
    </w:lvl>
    <w:lvl w:ilvl="4" w:tplc="9E409556" w:tentative="1">
      <w:start w:val="1"/>
      <w:numFmt w:val="decimal"/>
      <w:lvlText w:val="%5."/>
      <w:lvlJc w:val="left"/>
      <w:pPr>
        <w:tabs>
          <w:tab w:val="num" w:pos="3600"/>
        </w:tabs>
        <w:ind w:left="3600" w:hanging="360"/>
      </w:pPr>
    </w:lvl>
    <w:lvl w:ilvl="5" w:tplc="9CE0ED4C" w:tentative="1">
      <w:start w:val="1"/>
      <w:numFmt w:val="decimal"/>
      <w:lvlText w:val="%6."/>
      <w:lvlJc w:val="left"/>
      <w:pPr>
        <w:tabs>
          <w:tab w:val="num" w:pos="4320"/>
        </w:tabs>
        <w:ind w:left="4320" w:hanging="360"/>
      </w:pPr>
    </w:lvl>
    <w:lvl w:ilvl="6" w:tplc="1BC6BECA" w:tentative="1">
      <w:start w:val="1"/>
      <w:numFmt w:val="decimal"/>
      <w:lvlText w:val="%7."/>
      <w:lvlJc w:val="left"/>
      <w:pPr>
        <w:tabs>
          <w:tab w:val="num" w:pos="5040"/>
        </w:tabs>
        <w:ind w:left="5040" w:hanging="360"/>
      </w:pPr>
    </w:lvl>
    <w:lvl w:ilvl="7" w:tplc="FDA6665A" w:tentative="1">
      <w:start w:val="1"/>
      <w:numFmt w:val="decimal"/>
      <w:lvlText w:val="%8."/>
      <w:lvlJc w:val="left"/>
      <w:pPr>
        <w:tabs>
          <w:tab w:val="num" w:pos="5760"/>
        </w:tabs>
        <w:ind w:left="5760" w:hanging="360"/>
      </w:pPr>
    </w:lvl>
    <w:lvl w:ilvl="8" w:tplc="F4D67242" w:tentative="1">
      <w:start w:val="1"/>
      <w:numFmt w:val="decimal"/>
      <w:lvlText w:val="%9."/>
      <w:lvlJc w:val="left"/>
      <w:pPr>
        <w:tabs>
          <w:tab w:val="num" w:pos="6480"/>
        </w:tabs>
        <w:ind w:left="6480" w:hanging="360"/>
      </w:pPr>
    </w:lvl>
  </w:abstractNum>
  <w:abstractNum w:abstractNumId="5" w15:restartNumberingAfterBreak="0">
    <w:nsid w:val="185107FF"/>
    <w:multiLevelType w:val="hybridMultilevel"/>
    <w:tmpl w:val="D9368708"/>
    <w:lvl w:ilvl="0" w:tplc="C494F95A">
      <w:start w:val="1"/>
      <w:numFmt w:val="bullet"/>
      <w:lvlText w:val=""/>
      <w:lvlJc w:val="left"/>
      <w:pPr>
        <w:tabs>
          <w:tab w:val="num" w:pos="720"/>
        </w:tabs>
        <w:ind w:left="720" w:hanging="360"/>
      </w:pPr>
      <w:rPr>
        <w:rFonts w:ascii="Wingdings" w:hAnsi="Wingdings" w:hint="default"/>
      </w:rPr>
    </w:lvl>
    <w:lvl w:ilvl="1" w:tplc="72FCC970" w:tentative="1">
      <w:start w:val="1"/>
      <w:numFmt w:val="bullet"/>
      <w:lvlText w:val=""/>
      <w:lvlJc w:val="left"/>
      <w:pPr>
        <w:tabs>
          <w:tab w:val="num" w:pos="1440"/>
        </w:tabs>
        <w:ind w:left="1440" w:hanging="360"/>
      </w:pPr>
      <w:rPr>
        <w:rFonts w:ascii="Wingdings" w:hAnsi="Wingdings" w:hint="default"/>
      </w:rPr>
    </w:lvl>
    <w:lvl w:ilvl="2" w:tplc="4490D79C" w:tentative="1">
      <w:start w:val="1"/>
      <w:numFmt w:val="bullet"/>
      <w:lvlText w:val=""/>
      <w:lvlJc w:val="left"/>
      <w:pPr>
        <w:tabs>
          <w:tab w:val="num" w:pos="2160"/>
        </w:tabs>
        <w:ind w:left="2160" w:hanging="360"/>
      </w:pPr>
      <w:rPr>
        <w:rFonts w:ascii="Wingdings" w:hAnsi="Wingdings" w:hint="default"/>
      </w:rPr>
    </w:lvl>
    <w:lvl w:ilvl="3" w:tplc="FECCA328" w:tentative="1">
      <w:start w:val="1"/>
      <w:numFmt w:val="bullet"/>
      <w:lvlText w:val=""/>
      <w:lvlJc w:val="left"/>
      <w:pPr>
        <w:tabs>
          <w:tab w:val="num" w:pos="2880"/>
        </w:tabs>
        <w:ind w:left="2880" w:hanging="360"/>
      </w:pPr>
      <w:rPr>
        <w:rFonts w:ascii="Wingdings" w:hAnsi="Wingdings" w:hint="default"/>
      </w:rPr>
    </w:lvl>
    <w:lvl w:ilvl="4" w:tplc="BC22F69E" w:tentative="1">
      <w:start w:val="1"/>
      <w:numFmt w:val="bullet"/>
      <w:lvlText w:val=""/>
      <w:lvlJc w:val="left"/>
      <w:pPr>
        <w:tabs>
          <w:tab w:val="num" w:pos="3600"/>
        </w:tabs>
        <w:ind w:left="3600" w:hanging="360"/>
      </w:pPr>
      <w:rPr>
        <w:rFonts w:ascii="Wingdings" w:hAnsi="Wingdings" w:hint="default"/>
      </w:rPr>
    </w:lvl>
    <w:lvl w:ilvl="5" w:tplc="D20239C8" w:tentative="1">
      <w:start w:val="1"/>
      <w:numFmt w:val="bullet"/>
      <w:lvlText w:val=""/>
      <w:lvlJc w:val="left"/>
      <w:pPr>
        <w:tabs>
          <w:tab w:val="num" w:pos="4320"/>
        </w:tabs>
        <w:ind w:left="4320" w:hanging="360"/>
      </w:pPr>
      <w:rPr>
        <w:rFonts w:ascii="Wingdings" w:hAnsi="Wingdings" w:hint="default"/>
      </w:rPr>
    </w:lvl>
    <w:lvl w:ilvl="6" w:tplc="3E084380" w:tentative="1">
      <w:start w:val="1"/>
      <w:numFmt w:val="bullet"/>
      <w:lvlText w:val=""/>
      <w:lvlJc w:val="left"/>
      <w:pPr>
        <w:tabs>
          <w:tab w:val="num" w:pos="5040"/>
        </w:tabs>
        <w:ind w:left="5040" w:hanging="360"/>
      </w:pPr>
      <w:rPr>
        <w:rFonts w:ascii="Wingdings" w:hAnsi="Wingdings" w:hint="default"/>
      </w:rPr>
    </w:lvl>
    <w:lvl w:ilvl="7" w:tplc="F228A496" w:tentative="1">
      <w:start w:val="1"/>
      <w:numFmt w:val="bullet"/>
      <w:lvlText w:val=""/>
      <w:lvlJc w:val="left"/>
      <w:pPr>
        <w:tabs>
          <w:tab w:val="num" w:pos="5760"/>
        </w:tabs>
        <w:ind w:left="5760" w:hanging="360"/>
      </w:pPr>
      <w:rPr>
        <w:rFonts w:ascii="Wingdings" w:hAnsi="Wingdings" w:hint="default"/>
      </w:rPr>
    </w:lvl>
    <w:lvl w:ilvl="8" w:tplc="BF444B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20EBB"/>
    <w:multiLevelType w:val="hybridMultilevel"/>
    <w:tmpl w:val="98D6F29A"/>
    <w:lvl w:ilvl="0" w:tplc="938E19F0">
      <w:start w:val="1"/>
      <w:numFmt w:val="decimal"/>
      <w:lvlText w:val="%1."/>
      <w:lvlJc w:val="left"/>
      <w:pPr>
        <w:tabs>
          <w:tab w:val="num" w:pos="720"/>
        </w:tabs>
        <w:ind w:left="720" w:hanging="360"/>
      </w:pPr>
    </w:lvl>
    <w:lvl w:ilvl="1" w:tplc="720A784E" w:tentative="1">
      <w:start w:val="1"/>
      <w:numFmt w:val="decimal"/>
      <w:lvlText w:val="%2."/>
      <w:lvlJc w:val="left"/>
      <w:pPr>
        <w:tabs>
          <w:tab w:val="num" w:pos="1440"/>
        </w:tabs>
        <w:ind w:left="1440" w:hanging="360"/>
      </w:pPr>
    </w:lvl>
    <w:lvl w:ilvl="2" w:tplc="C83C2FD0" w:tentative="1">
      <w:start w:val="1"/>
      <w:numFmt w:val="decimal"/>
      <w:lvlText w:val="%3."/>
      <w:lvlJc w:val="left"/>
      <w:pPr>
        <w:tabs>
          <w:tab w:val="num" w:pos="2160"/>
        </w:tabs>
        <w:ind w:left="2160" w:hanging="360"/>
      </w:pPr>
    </w:lvl>
    <w:lvl w:ilvl="3" w:tplc="8F645324" w:tentative="1">
      <w:start w:val="1"/>
      <w:numFmt w:val="decimal"/>
      <w:lvlText w:val="%4."/>
      <w:lvlJc w:val="left"/>
      <w:pPr>
        <w:tabs>
          <w:tab w:val="num" w:pos="2880"/>
        </w:tabs>
        <w:ind w:left="2880" w:hanging="360"/>
      </w:pPr>
    </w:lvl>
    <w:lvl w:ilvl="4" w:tplc="1500E686" w:tentative="1">
      <w:start w:val="1"/>
      <w:numFmt w:val="decimal"/>
      <w:lvlText w:val="%5."/>
      <w:lvlJc w:val="left"/>
      <w:pPr>
        <w:tabs>
          <w:tab w:val="num" w:pos="3600"/>
        </w:tabs>
        <w:ind w:left="3600" w:hanging="360"/>
      </w:pPr>
    </w:lvl>
    <w:lvl w:ilvl="5" w:tplc="67D02EE6" w:tentative="1">
      <w:start w:val="1"/>
      <w:numFmt w:val="decimal"/>
      <w:lvlText w:val="%6."/>
      <w:lvlJc w:val="left"/>
      <w:pPr>
        <w:tabs>
          <w:tab w:val="num" w:pos="4320"/>
        </w:tabs>
        <w:ind w:left="4320" w:hanging="360"/>
      </w:pPr>
    </w:lvl>
    <w:lvl w:ilvl="6" w:tplc="8A80B2A0" w:tentative="1">
      <w:start w:val="1"/>
      <w:numFmt w:val="decimal"/>
      <w:lvlText w:val="%7."/>
      <w:lvlJc w:val="left"/>
      <w:pPr>
        <w:tabs>
          <w:tab w:val="num" w:pos="5040"/>
        </w:tabs>
        <w:ind w:left="5040" w:hanging="360"/>
      </w:pPr>
    </w:lvl>
    <w:lvl w:ilvl="7" w:tplc="2E84FF78" w:tentative="1">
      <w:start w:val="1"/>
      <w:numFmt w:val="decimal"/>
      <w:lvlText w:val="%8."/>
      <w:lvlJc w:val="left"/>
      <w:pPr>
        <w:tabs>
          <w:tab w:val="num" w:pos="5760"/>
        </w:tabs>
        <w:ind w:left="5760" w:hanging="360"/>
      </w:pPr>
    </w:lvl>
    <w:lvl w:ilvl="8" w:tplc="238C25D0" w:tentative="1">
      <w:start w:val="1"/>
      <w:numFmt w:val="decimal"/>
      <w:lvlText w:val="%9."/>
      <w:lvlJc w:val="left"/>
      <w:pPr>
        <w:tabs>
          <w:tab w:val="num" w:pos="6480"/>
        </w:tabs>
        <w:ind w:left="6480" w:hanging="360"/>
      </w:pPr>
    </w:lvl>
  </w:abstractNum>
  <w:abstractNum w:abstractNumId="7" w15:restartNumberingAfterBreak="0">
    <w:nsid w:val="23093D35"/>
    <w:multiLevelType w:val="hybridMultilevel"/>
    <w:tmpl w:val="AE487066"/>
    <w:lvl w:ilvl="0" w:tplc="975E8058">
      <w:start w:val="1"/>
      <w:numFmt w:val="decimal"/>
      <w:lvlText w:val="%1."/>
      <w:lvlJc w:val="left"/>
      <w:pPr>
        <w:tabs>
          <w:tab w:val="num" w:pos="720"/>
        </w:tabs>
        <w:ind w:left="720" w:hanging="360"/>
      </w:pPr>
    </w:lvl>
    <w:lvl w:ilvl="1" w:tplc="2D94D052">
      <w:start w:val="1"/>
      <w:numFmt w:val="decimal"/>
      <w:lvlText w:val="%2."/>
      <w:lvlJc w:val="left"/>
      <w:pPr>
        <w:tabs>
          <w:tab w:val="num" w:pos="1440"/>
        </w:tabs>
        <w:ind w:left="1440" w:hanging="360"/>
      </w:pPr>
    </w:lvl>
    <w:lvl w:ilvl="2" w:tplc="70F02646" w:tentative="1">
      <w:start w:val="1"/>
      <w:numFmt w:val="decimal"/>
      <w:lvlText w:val="%3."/>
      <w:lvlJc w:val="left"/>
      <w:pPr>
        <w:tabs>
          <w:tab w:val="num" w:pos="2160"/>
        </w:tabs>
        <w:ind w:left="2160" w:hanging="360"/>
      </w:pPr>
    </w:lvl>
    <w:lvl w:ilvl="3" w:tplc="AA5AE3BE" w:tentative="1">
      <w:start w:val="1"/>
      <w:numFmt w:val="decimal"/>
      <w:lvlText w:val="%4."/>
      <w:lvlJc w:val="left"/>
      <w:pPr>
        <w:tabs>
          <w:tab w:val="num" w:pos="2880"/>
        </w:tabs>
        <w:ind w:left="2880" w:hanging="360"/>
      </w:pPr>
    </w:lvl>
    <w:lvl w:ilvl="4" w:tplc="92CAD6B6" w:tentative="1">
      <w:start w:val="1"/>
      <w:numFmt w:val="decimal"/>
      <w:lvlText w:val="%5."/>
      <w:lvlJc w:val="left"/>
      <w:pPr>
        <w:tabs>
          <w:tab w:val="num" w:pos="3600"/>
        </w:tabs>
        <w:ind w:left="3600" w:hanging="360"/>
      </w:pPr>
    </w:lvl>
    <w:lvl w:ilvl="5" w:tplc="9D5072A8" w:tentative="1">
      <w:start w:val="1"/>
      <w:numFmt w:val="decimal"/>
      <w:lvlText w:val="%6."/>
      <w:lvlJc w:val="left"/>
      <w:pPr>
        <w:tabs>
          <w:tab w:val="num" w:pos="4320"/>
        </w:tabs>
        <w:ind w:left="4320" w:hanging="360"/>
      </w:pPr>
    </w:lvl>
    <w:lvl w:ilvl="6" w:tplc="18EC9F7E" w:tentative="1">
      <w:start w:val="1"/>
      <w:numFmt w:val="decimal"/>
      <w:lvlText w:val="%7."/>
      <w:lvlJc w:val="left"/>
      <w:pPr>
        <w:tabs>
          <w:tab w:val="num" w:pos="5040"/>
        </w:tabs>
        <w:ind w:left="5040" w:hanging="360"/>
      </w:pPr>
    </w:lvl>
    <w:lvl w:ilvl="7" w:tplc="4C0E2D14" w:tentative="1">
      <w:start w:val="1"/>
      <w:numFmt w:val="decimal"/>
      <w:lvlText w:val="%8."/>
      <w:lvlJc w:val="left"/>
      <w:pPr>
        <w:tabs>
          <w:tab w:val="num" w:pos="5760"/>
        </w:tabs>
        <w:ind w:left="5760" w:hanging="360"/>
      </w:pPr>
    </w:lvl>
    <w:lvl w:ilvl="8" w:tplc="DBF4BB3A" w:tentative="1">
      <w:start w:val="1"/>
      <w:numFmt w:val="decimal"/>
      <w:lvlText w:val="%9."/>
      <w:lvlJc w:val="left"/>
      <w:pPr>
        <w:tabs>
          <w:tab w:val="num" w:pos="6480"/>
        </w:tabs>
        <w:ind w:left="6480" w:hanging="360"/>
      </w:pPr>
    </w:lvl>
  </w:abstractNum>
  <w:abstractNum w:abstractNumId="8" w15:restartNumberingAfterBreak="0">
    <w:nsid w:val="23762713"/>
    <w:multiLevelType w:val="hybridMultilevel"/>
    <w:tmpl w:val="2404FF3E"/>
    <w:lvl w:ilvl="0" w:tplc="80D61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A23CD"/>
    <w:multiLevelType w:val="hybridMultilevel"/>
    <w:tmpl w:val="3E5A5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C5A2B"/>
    <w:multiLevelType w:val="hybridMultilevel"/>
    <w:tmpl w:val="1EDE9D94"/>
    <w:lvl w:ilvl="0" w:tplc="509851B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690760"/>
    <w:multiLevelType w:val="hybridMultilevel"/>
    <w:tmpl w:val="49967932"/>
    <w:lvl w:ilvl="0" w:tplc="2CE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443"/>
    <w:multiLevelType w:val="hybridMultilevel"/>
    <w:tmpl w:val="02C22480"/>
    <w:lvl w:ilvl="0" w:tplc="C7E8BCD6">
      <w:start w:val="1"/>
      <w:numFmt w:val="decimal"/>
      <w:lvlText w:val="%1."/>
      <w:lvlJc w:val="left"/>
      <w:pPr>
        <w:tabs>
          <w:tab w:val="num" w:pos="720"/>
        </w:tabs>
        <w:ind w:left="720" w:hanging="360"/>
      </w:pPr>
    </w:lvl>
    <w:lvl w:ilvl="1" w:tplc="E1DEA720">
      <w:start w:val="1"/>
      <w:numFmt w:val="decimal"/>
      <w:lvlText w:val="%2."/>
      <w:lvlJc w:val="left"/>
      <w:pPr>
        <w:tabs>
          <w:tab w:val="num" w:pos="1440"/>
        </w:tabs>
        <w:ind w:left="1440" w:hanging="360"/>
      </w:pPr>
    </w:lvl>
    <w:lvl w:ilvl="2" w:tplc="1D489FA6" w:tentative="1">
      <w:start w:val="1"/>
      <w:numFmt w:val="decimal"/>
      <w:lvlText w:val="%3."/>
      <w:lvlJc w:val="left"/>
      <w:pPr>
        <w:tabs>
          <w:tab w:val="num" w:pos="2160"/>
        </w:tabs>
        <w:ind w:left="2160" w:hanging="360"/>
      </w:pPr>
    </w:lvl>
    <w:lvl w:ilvl="3" w:tplc="350C8E28" w:tentative="1">
      <w:start w:val="1"/>
      <w:numFmt w:val="decimal"/>
      <w:lvlText w:val="%4."/>
      <w:lvlJc w:val="left"/>
      <w:pPr>
        <w:tabs>
          <w:tab w:val="num" w:pos="2880"/>
        </w:tabs>
        <w:ind w:left="2880" w:hanging="360"/>
      </w:pPr>
    </w:lvl>
    <w:lvl w:ilvl="4" w:tplc="2B18C06A" w:tentative="1">
      <w:start w:val="1"/>
      <w:numFmt w:val="decimal"/>
      <w:lvlText w:val="%5."/>
      <w:lvlJc w:val="left"/>
      <w:pPr>
        <w:tabs>
          <w:tab w:val="num" w:pos="3600"/>
        </w:tabs>
        <w:ind w:left="3600" w:hanging="360"/>
      </w:pPr>
    </w:lvl>
    <w:lvl w:ilvl="5" w:tplc="1CF07DFA" w:tentative="1">
      <w:start w:val="1"/>
      <w:numFmt w:val="decimal"/>
      <w:lvlText w:val="%6."/>
      <w:lvlJc w:val="left"/>
      <w:pPr>
        <w:tabs>
          <w:tab w:val="num" w:pos="4320"/>
        </w:tabs>
        <w:ind w:left="4320" w:hanging="360"/>
      </w:pPr>
    </w:lvl>
    <w:lvl w:ilvl="6" w:tplc="614AD81A" w:tentative="1">
      <w:start w:val="1"/>
      <w:numFmt w:val="decimal"/>
      <w:lvlText w:val="%7."/>
      <w:lvlJc w:val="left"/>
      <w:pPr>
        <w:tabs>
          <w:tab w:val="num" w:pos="5040"/>
        </w:tabs>
        <w:ind w:left="5040" w:hanging="360"/>
      </w:pPr>
    </w:lvl>
    <w:lvl w:ilvl="7" w:tplc="14543FB2" w:tentative="1">
      <w:start w:val="1"/>
      <w:numFmt w:val="decimal"/>
      <w:lvlText w:val="%8."/>
      <w:lvlJc w:val="left"/>
      <w:pPr>
        <w:tabs>
          <w:tab w:val="num" w:pos="5760"/>
        </w:tabs>
        <w:ind w:left="5760" w:hanging="360"/>
      </w:pPr>
    </w:lvl>
    <w:lvl w:ilvl="8" w:tplc="EBE8D87E" w:tentative="1">
      <w:start w:val="1"/>
      <w:numFmt w:val="decimal"/>
      <w:lvlText w:val="%9."/>
      <w:lvlJc w:val="left"/>
      <w:pPr>
        <w:tabs>
          <w:tab w:val="num" w:pos="6480"/>
        </w:tabs>
        <w:ind w:left="6480" w:hanging="360"/>
      </w:pPr>
    </w:lvl>
  </w:abstractNum>
  <w:abstractNum w:abstractNumId="13" w15:restartNumberingAfterBreak="0">
    <w:nsid w:val="41260690"/>
    <w:multiLevelType w:val="hybridMultilevel"/>
    <w:tmpl w:val="E9723B1A"/>
    <w:lvl w:ilvl="0" w:tplc="CC5C92D6">
      <w:start w:val="1"/>
      <w:numFmt w:val="bullet"/>
      <w:lvlText w:val="•"/>
      <w:lvlJc w:val="left"/>
      <w:pPr>
        <w:tabs>
          <w:tab w:val="num" w:pos="720"/>
        </w:tabs>
        <w:ind w:left="720" w:hanging="360"/>
      </w:pPr>
      <w:rPr>
        <w:rFonts w:ascii="Arial" w:hAnsi="Arial" w:hint="default"/>
      </w:rPr>
    </w:lvl>
    <w:lvl w:ilvl="1" w:tplc="A9A0D766">
      <w:numFmt w:val="bullet"/>
      <w:lvlText w:val="–"/>
      <w:lvlJc w:val="left"/>
      <w:pPr>
        <w:tabs>
          <w:tab w:val="num" w:pos="1440"/>
        </w:tabs>
        <w:ind w:left="1440" w:hanging="360"/>
      </w:pPr>
      <w:rPr>
        <w:rFonts w:ascii="Arial" w:hAnsi="Arial" w:hint="default"/>
      </w:rPr>
    </w:lvl>
    <w:lvl w:ilvl="2" w:tplc="143249C0" w:tentative="1">
      <w:start w:val="1"/>
      <w:numFmt w:val="bullet"/>
      <w:lvlText w:val="•"/>
      <w:lvlJc w:val="left"/>
      <w:pPr>
        <w:tabs>
          <w:tab w:val="num" w:pos="2160"/>
        </w:tabs>
        <w:ind w:left="2160" w:hanging="360"/>
      </w:pPr>
      <w:rPr>
        <w:rFonts w:ascii="Arial" w:hAnsi="Arial" w:hint="default"/>
      </w:rPr>
    </w:lvl>
    <w:lvl w:ilvl="3" w:tplc="A7C26ED0" w:tentative="1">
      <w:start w:val="1"/>
      <w:numFmt w:val="bullet"/>
      <w:lvlText w:val="•"/>
      <w:lvlJc w:val="left"/>
      <w:pPr>
        <w:tabs>
          <w:tab w:val="num" w:pos="2880"/>
        </w:tabs>
        <w:ind w:left="2880" w:hanging="360"/>
      </w:pPr>
      <w:rPr>
        <w:rFonts w:ascii="Arial" w:hAnsi="Arial" w:hint="default"/>
      </w:rPr>
    </w:lvl>
    <w:lvl w:ilvl="4" w:tplc="A510C81A" w:tentative="1">
      <w:start w:val="1"/>
      <w:numFmt w:val="bullet"/>
      <w:lvlText w:val="•"/>
      <w:lvlJc w:val="left"/>
      <w:pPr>
        <w:tabs>
          <w:tab w:val="num" w:pos="3600"/>
        </w:tabs>
        <w:ind w:left="3600" w:hanging="360"/>
      </w:pPr>
      <w:rPr>
        <w:rFonts w:ascii="Arial" w:hAnsi="Arial" w:hint="default"/>
      </w:rPr>
    </w:lvl>
    <w:lvl w:ilvl="5" w:tplc="2132F3AA" w:tentative="1">
      <w:start w:val="1"/>
      <w:numFmt w:val="bullet"/>
      <w:lvlText w:val="•"/>
      <w:lvlJc w:val="left"/>
      <w:pPr>
        <w:tabs>
          <w:tab w:val="num" w:pos="4320"/>
        </w:tabs>
        <w:ind w:left="4320" w:hanging="360"/>
      </w:pPr>
      <w:rPr>
        <w:rFonts w:ascii="Arial" w:hAnsi="Arial" w:hint="default"/>
      </w:rPr>
    </w:lvl>
    <w:lvl w:ilvl="6" w:tplc="7C3689F4" w:tentative="1">
      <w:start w:val="1"/>
      <w:numFmt w:val="bullet"/>
      <w:lvlText w:val="•"/>
      <w:lvlJc w:val="left"/>
      <w:pPr>
        <w:tabs>
          <w:tab w:val="num" w:pos="5040"/>
        </w:tabs>
        <w:ind w:left="5040" w:hanging="360"/>
      </w:pPr>
      <w:rPr>
        <w:rFonts w:ascii="Arial" w:hAnsi="Arial" w:hint="default"/>
      </w:rPr>
    </w:lvl>
    <w:lvl w:ilvl="7" w:tplc="F6445834" w:tentative="1">
      <w:start w:val="1"/>
      <w:numFmt w:val="bullet"/>
      <w:lvlText w:val="•"/>
      <w:lvlJc w:val="left"/>
      <w:pPr>
        <w:tabs>
          <w:tab w:val="num" w:pos="5760"/>
        </w:tabs>
        <w:ind w:left="5760" w:hanging="360"/>
      </w:pPr>
      <w:rPr>
        <w:rFonts w:ascii="Arial" w:hAnsi="Arial" w:hint="default"/>
      </w:rPr>
    </w:lvl>
    <w:lvl w:ilvl="8" w:tplc="43DC9D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434A87"/>
    <w:multiLevelType w:val="hybridMultilevel"/>
    <w:tmpl w:val="C7A6BFB0"/>
    <w:lvl w:ilvl="0" w:tplc="608E81F2">
      <w:start w:val="1"/>
      <w:numFmt w:val="bullet"/>
      <w:lvlText w:val=""/>
      <w:lvlJc w:val="left"/>
      <w:pPr>
        <w:tabs>
          <w:tab w:val="num" w:pos="720"/>
        </w:tabs>
        <w:ind w:left="720" w:hanging="360"/>
      </w:pPr>
      <w:rPr>
        <w:rFonts w:ascii="Wingdings" w:hAnsi="Wingdings" w:hint="default"/>
      </w:rPr>
    </w:lvl>
    <w:lvl w:ilvl="1" w:tplc="C8E0B8E8">
      <w:numFmt w:val="bullet"/>
      <w:lvlText w:val=""/>
      <w:lvlJc w:val="left"/>
      <w:pPr>
        <w:tabs>
          <w:tab w:val="num" w:pos="1440"/>
        </w:tabs>
        <w:ind w:left="1440" w:hanging="360"/>
      </w:pPr>
      <w:rPr>
        <w:rFonts w:ascii="Wingdings 2" w:hAnsi="Wingdings 2" w:hint="default"/>
      </w:rPr>
    </w:lvl>
    <w:lvl w:ilvl="2" w:tplc="2CECD86A" w:tentative="1">
      <w:start w:val="1"/>
      <w:numFmt w:val="bullet"/>
      <w:lvlText w:val=""/>
      <w:lvlJc w:val="left"/>
      <w:pPr>
        <w:tabs>
          <w:tab w:val="num" w:pos="2160"/>
        </w:tabs>
        <w:ind w:left="2160" w:hanging="360"/>
      </w:pPr>
      <w:rPr>
        <w:rFonts w:ascii="Wingdings" w:hAnsi="Wingdings" w:hint="default"/>
      </w:rPr>
    </w:lvl>
    <w:lvl w:ilvl="3" w:tplc="E0CEC66E" w:tentative="1">
      <w:start w:val="1"/>
      <w:numFmt w:val="bullet"/>
      <w:lvlText w:val=""/>
      <w:lvlJc w:val="left"/>
      <w:pPr>
        <w:tabs>
          <w:tab w:val="num" w:pos="2880"/>
        </w:tabs>
        <w:ind w:left="2880" w:hanging="360"/>
      </w:pPr>
      <w:rPr>
        <w:rFonts w:ascii="Wingdings" w:hAnsi="Wingdings" w:hint="default"/>
      </w:rPr>
    </w:lvl>
    <w:lvl w:ilvl="4" w:tplc="DE66B35A" w:tentative="1">
      <w:start w:val="1"/>
      <w:numFmt w:val="bullet"/>
      <w:lvlText w:val=""/>
      <w:lvlJc w:val="left"/>
      <w:pPr>
        <w:tabs>
          <w:tab w:val="num" w:pos="3600"/>
        </w:tabs>
        <w:ind w:left="3600" w:hanging="360"/>
      </w:pPr>
      <w:rPr>
        <w:rFonts w:ascii="Wingdings" w:hAnsi="Wingdings" w:hint="default"/>
      </w:rPr>
    </w:lvl>
    <w:lvl w:ilvl="5" w:tplc="3C04BF7A" w:tentative="1">
      <w:start w:val="1"/>
      <w:numFmt w:val="bullet"/>
      <w:lvlText w:val=""/>
      <w:lvlJc w:val="left"/>
      <w:pPr>
        <w:tabs>
          <w:tab w:val="num" w:pos="4320"/>
        </w:tabs>
        <w:ind w:left="4320" w:hanging="360"/>
      </w:pPr>
      <w:rPr>
        <w:rFonts w:ascii="Wingdings" w:hAnsi="Wingdings" w:hint="default"/>
      </w:rPr>
    </w:lvl>
    <w:lvl w:ilvl="6" w:tplc="4DF4197E" w:tentative="1">
      <w:start w:val="1"/>
      <w:numFmt w:val="bullet"/>
      <w:lvlText w:val=""/>
      <w:lvlJc w:val="left"/>
      <w:pPr>
        <w:tabs>
          <w:tab w:val="num" w:pos="5040"/>
        </w:tabs>
        <w:ind w:left="5040" w:hanging="360"/>
      </w:pPr>
      <w:rPr>
        <w:rFonts w:ascii="Wingdings" w:hAnsi="Wingdings" w:hint="default"/>
      </w:rPr>
    </w:lvl>
    <w:lvl w:ilvl="7" w:tplc="4530AEC0" w:tentative="1">
      <w:start w:val="1"/>
      <w:numFmt w:val="bullet"/>
      <w:lvlText w:val=""/>
      <w:lvlJc w:val="left"/>
      <w:pPr>
        <w:tabs>
          <w:tab w:val="num" w:pos="5760"/>
        </w:tabs>
        <w:ind w:left="5760" w:hanging="360"/>
      </w:pPr>
      <w:rPr>
        <w:rFonts w:ascii="Wingdings" w:hAnsi="Wingdings" w:hint="default"/>
      </w:rPr>
    </w:lvl>
    <w:lvl w:ilvl="8" w:tplc="85EC17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92982"/>
    <w:multiLevelType w:val="hybridMultilevel"/>
    <w:tmpl w:val="374CCD9E"/>
    <w:lvl w:ilvl="0" w:tplc="D9E25404">
      <w:start w:val="1"/>
      <w:numFmt w:val="bullet"/>
      <w:lvlText w:val="–"/>
      <w:lvlJc w:val="left"/>
      <w:pPr>
        <w:tabs>
          <w:tab w:val="num" w:pos="720"/>
        </w:tabs>
        <w:ind w:left="720" w:hanging="360"/>
      </w:pPr>
      <w:rPr>
        <w:rFonts w:ascii="Arial" w:hAnsi="Arial" w:hint="default"/>
      </w:rPr>
    </w:lvl>
    <w:lvl w:ilvl="1" w:tplc="A6E0833C">
      <w:start w:val="1"/>
      <w:numFmt w:val="bullet"/>
      <w:lvlText w:val="–"/>
      <w:lvlJc w:val="left"/>
      <w:pPr>
        <w:tabs>
          <w:tab w:val="num" w:pos="1440"/>
        </w:tabs>
        <w:ind w:left="1440" w:hanging="360"/>
      </w:pPr>
      <w:rPr>
        <w:rFonts w:ascii="Arial" w:hAnsi="Arial" w:hint="default"/>
      </w:rPr>
    </w:lvl>
    <w:lvl w:ilvl="2" w:tplc="36966628" w:tentative="1">
      <w:start w:val="1"/>
      <w:numFmt w:val="bullet"/>
      <w:lvlText w:val="–"/>
      <w:lvlJc w:val="left"/>
      <w:pPr>
        <w:tabs>
          <w:tab w:val="num" w:pos="2160"/>
        </w:tabs>
        <w:ind w:left="2160" w:hanging="360"/>
      </w:pPr>
      <w:rPr>
        <w:rFonts w:ascii="Arial" w:hAnsi="Arial" w:hint="default"/>
      </w:rPr>
    </w:lvl>
    <w:lvl w:ilvl="3" w:tplc="795A0068" w:tentative="1">
      <w:start w:val="1"/>
      <w:numFmt w:val="bullet"/>
      <w:lvlText w:val="–"/>
      <w:lvlJc w:val="left"/>
      <w:pPr>
        <w:tabs>
          <w:tab w:val="num" w:pos="2880"/>
        </w:tabs>
        <w:ind w:left="2880" w:hanging="360"/>
      </w:pPr>
      <w:rPr>
        <w:rFonts w:ascii="Arial" w:hAnsi="Arial" w:hint="default"/>
      </w:rPr>
    </w:lvl>
    <w:lvl w:ilvl="4" w:tplc="DEEED8AE" w:tentative="1">
      <w:start w:val="1"/>
      <w:numFmt w:val="bullet"/>
      <w:lvlText w:val="–"/>
      <w:lvlJc w:val="left"/>
      <w:pPr>
        <w:tabs>
          <w:tab w:val="num" w:pos="3600"/>
        </w:tabs>
        <w:ind w:left="3600" w:hanging="360"/>
      </w:pPr>
      <w:rPr>
        <w:rFonts w:ascii="Arial" w:hAnsi="Arial" w:hint="default"/>
      </w:rPr>
    </w:lvl>
    <w:lvl w:ilvl="5" w:tplc="11043B06" w:tentative="1">
      <w:start w:val="1"/>
      <w:numFmt w:val="bullet"/>
      <w:lvlText w:val="–"/>
      <w:lvlJc w:val="left"/>
      <w:pPr>
        <w:tabs>
          <w:tab w:val="num" w:pos="4320"/>
        </w:tabs>
        <w:ind w:left="4320" w:hanging="360"/>
      </w:pPr>
      <w:rPr>
        <w:rFonts w:ascii="Arial" w:hAnsi="Arial" w:hint="default"/>
      </w:rPr>
    </w:lvl>
    <w:lvl w:ilvl="6" w:tplc="B9963346" w:tentative="1">
      <w:start w:val="1"/>
      <w:numFmt w:val="bullet"/>
      <w:lvlText w:val="–"/>
      <w:lvlJc w:val="left"/>
      <w:pPr>
        <w:tabs>
          <w:tab w:val="num" w:pos="5040"/>
        </w:tabs>
        <w:ind w:left="5040" w:hanging="360"/>
      </w:pPr>
      <w:rPr>
        <w:rFonts w:ascii="Arial" w:hAnsi="Arial" w:hint="default"/>
      </w:rPr>
    </w:lvl>
    <w:lvl w:ilvl="7" w:tplc="887C5C68" w:tentative="1">
      <w:start w:val="1"/>
      <w:numFmt w:val="bullet"/>
      <w:lvlText w:val="–"/>
      <w:lvlJc w:val="left"/>
      <w:pPr>
        <w:tabs>
          <w:tab w:val="num" w:pos="5760"/>
        </w:tabs>
        <w:ind w:left="5760" w:hanging="360"/>
      </w:pPr>
      <w:rPr>
        <w:rFonts w:ascii="Arial" w:hAnsi="Arial" w:hint="default"/>
      </w:rPr>
    </w:lvl>
    <w:lvl w:ilvl="8" w:tplc="64429E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203D92"/>
    <w:multiLevelType w:val="hybridMultilevel"/>
    <w:tmpl w:val="137E4448"/>
    <w:lvl w:ilvl="0" w:tplc="EFB2183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11867"/>
    <w:multiLevelType w:val="hybridMultilevel"/>
    <w:tmpl w:val="9D101608"/>
    <w:lvl w:ilvl="0" w:tplc="283E37F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E72F9"/>
    <w:multiLevelType w:val="hybridMultilevel"/>
    <w:tmpl w:val="E528E87A"/>
    <w:lvl w:ilvl="0" w:tplc="B148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C2338"/>
    <w:multiLevelType w:val="hybridMultilevel"/>
    <w:tmpl w:val="28E40FFE"/>
    <w:lvl w:ilvl="0" w:tplc="2DCC49C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492D31"/>
    <w:multiLevelType w:val="hybridMultilevel"/>
    <w:tmpl w:val="C8C01BD2"/>
    <w:lvl w:ilvl="0" w:tplc="C9544E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4E3F58"/>
    <w:multiLevelType w:val="hybridMultilevel"/>
    <w:tmpl w:val="92ECCB48"/>
    <w:lvl w:ilvl="0" w:tplc="39E0C866">
      <w:start w:val="1"/>
      <w:numFmt w:val="decimal"/>
      <w:lvlText w:val="%1."/>
      <w:lvlJc w:val="left"/>
      <w:pPr>
        <w:tabs>
          <w:tab w:val="num" w:pos="720"/>
        </w:tabs>
        <w:ind w:left="720" w:hanging="360"/>
      </w:pPr>
    </w:lvl>
    <w:lvl w:ilvl="1" w:tplc="899CB5F4">
      <w:start w:val="1"/>
      <w:numFmt w:val="decimal"/>
      <w:lvlText w:val="%2."/>
      <w:lvlJc w:val="left"/>
      <w:pPr>
        <w:tabs>
          <w:tab w:val="num" w:pos="1440"/>
        </w:tabs>
        <w:ind w:left="1440" w:hanging="360"/>
      </w:pPr>
    </w:lvl>
    <w:lvl w:ilvl="2" w:tplc="E50A3B22" w:tentative="1">
      <w:start w:val="1"/>
      <w:numFmt w:val="decimal"/>
      <w:lvlText w:val="%3."/>
      <w:lvlJc w:val="left"/>
      <w:pPr>
        <w:tabs>
          <w:tab w:val="num" w:pos="2160"/>
        </w:tabs>
        <w:ind w:left="2160" w:hanging="360"/>
      </w:pPr>
    </w:lvl>
    <w:lvl w:ilvl="3" w:tplc="D0DE90EA" w:tentative="1">
      <w:start w:val="1"/>
      <w:numFmt w:val="decimal"/>
      <w:lvlText w:val="%4."/>
      <w:lvlJc w:val="left"/>
      <w:pPr>
        <w:tabs>
          <w:tab w:val="num" w:pos="2880"/>
        </w:tabs>
        <w:ind w:left="2880" w:hanging="360"/>
      </w:pPr>
    </w:lvl>
    <w:lvl w:ilvl="4" w:tplc="09E849F6" w:tentative="1">
      <w:start w:val="1"/>
      <w:numFmt w:val="decimal"/>
      <w:lvlText w:val="%5."/>
      <w:lvlJc w:val="left"/>
      <w:pPr>
        <w:tabs>
          <w:tab w:val="num" w:pos="3600"/>
        </w:tabs>
        <w:ind w:left="3600" w:hanging="360"/>
      </w:pPr>
    </w:lvl>
    <w:lvl w:ilvl="5" w:tplc="B34ABE5E" w:tentative="1">
      <w:start w:val="1"/>
      <w:numFmt w:val="decimal"/>
      <w:lvlText w:val="%6."/>
      <w:lvlJc w:val="left"/>
      <w:pPr>
        <w:tabs>
          <w:tab w:val="num" w:pos="4320"/>
        </w:tabs>
        <w:ind w:left="4320" w:hanging="360"/>
      </w:pPr>
    </w:lvl>
    <w:lvl w:ilvl="6" w:tplc="BBF08DFC" w:tentative="1">
      <w:start w:val="1"/>
      <w:numFmt w:val="decimal"/>
      <w:lvlText w:val="%7."/>
      <w:lvlJc w:val="left"/>
      <w:pPr>
        <w:tabs>
          <w:tab w:val="num" w:pos="5040"/>
        </w:tabs>
        <w:ind w:left="5040" w:hanging="360"/>
      </w:pPr>
    </w:lvl>
    <w:lvl w:ilvl="7" w:tplc="8278CE12" w:tentative="1">
      <w:start w:val="1"/>
      <w:numFmt w:val="decimal"/>
      <w:lvlText w:val="%8."/>
      <w:lvlJc w:val="left"/>
      <w:pPr>
        <w:tabs>
          <w:tab w:val="num" w:pos="5760"/>
        </w:tabs>
        <w:ind w:left="5760" w:hanging="360"/>
      </w:pPr>
    </w:lvl>
    <w:lvl w:ilvl="8" w:tplc="041E7142" w:tentative="1">
      <w:start w:val="1"/>
      <w:numFmt w:val="decimal"/>
      <w:lvlText w:val="%9."/>
      <w:lvlJc w:val="left"/>
      <w:pPr>
        <w:tabs>
          <w:tab w:val="num" w:pos="6480"/>
        </w:tabs>
        <w:ind w:left="6480" w:hanging="360"/>
      </w:pPr>
    </w:lvl>
  </w:abstractNum>
  <w:abstractNum w:abstractNumId="22" w15:restartNumberingAfterBreak="0">
    <w:nsid w:val="683D38E1"/>
    <w:multiLevelType w:val="hybridMultilevel"/>
    <w:tmpl w:val="06182B32"/>
    <w:lvl w:ilvl="0" w:tplc="9F76EFF4">
      <w:start w:val="1"/>
      <w:numFmt w:val="upperRoman"/>
      <w:lvlText w:val="%1."/>
      <w:lvlJc w:val="left"/>
      <w:pPr>
        <w:ind w:left="940" w:hanging="9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EF72F7"/>
    <w:multiLevelType w:val="hybridMultilevel"/>
    <w:tmpl w:val="A3A2FB36"/>
    <w:lvl w:ilvl="0" w:tplc="EF147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E0A5D"/>
    <w:multiLevelType w:val="hybridMultilevel"/>
    <w:tmpl w:val="E8B4C29A"/>
    <w:lvl w:ilvl="0" w:tplc="025602C6">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BB"/>
    <w:multiLevelType w:val="hybridMultilevel"/>
    <w:tmpl w:val="F182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96038"/>
    <w:multiLevelType w:val="hybridMultilevel"/>
    <w:tmpl w:val="A4A248E6"/>
    <w:lvl w:ilvl="0" w:tplc="D3981A2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DD4365"/>
    <w:multiLevelType w:val="hybridMultilevel"/>
    <w:tmpl w:val="84844464"/>
    <w:lvl w:ilvl="0" w:tplc="B810BB2E">
      <w:start w:val="1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704558"/>
    <w:multiLevelType w:val="hybridMultilevel"/>
    <w:tmpl w:val="81B46BA8"/>
    <w:lvl w:ilvl="0" w:tplc="80F4A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511FF"/>
    <w:multiLevelType w:val="hybridMultilevel"/>
    <w:tmpl w:val="26387C62"/>
    <w:lvl w:ilvl="0" w:tplc="2466AE92">
      <w:start w:val="1"/>
      <w:numFmt w:val="bullet"/>
      <w:lvlText w:val="–"/>
      <w:lvlJc w:val="left"/>
      <w:pPr>
        <w:tabs>
          <w:tab w:val="num" w:pos="720"/>
        </w:tabs>
        <w:ind w:left="720" w:hanging="360"/>
      </w:pPr>
      <w:rPr>
        <w:rFonts w:ascii="Arial" w:hAnsi="Arial" w:hint="default"/>
      </w:rPr>
    </w:lvl>
    <w:lvl w:ilvl="1" w:tplc="87A2E082">
      <w:start w:val="1"/>
      <w:numFmt w:val="bullet"/>
      <w:lvlText w:val="–"/>
      <w:lvlJc w:val="left"/>
      <w:pPr>
        <w:tabs>
          <w:tab w:val="num" w:pos="1440"/>
        </w:tabs>
        <w:ind w:left="1440" w:hanging="360"/>
      </w:pPr>
      <w:rPr>
        <w:rFonts w:ascii="Arial" w:hAnsi="Arial" w:hint="default"/>
      </w:rPr>
    </w:lvl>
    <w:lvl w:ilvl="2" w:tplc="8B98BC06" w:tentative="1">
      <w:start w:val="1"/>
      <w:numFmt w:val="bullet"/>
      <w:lvlText w:val="–"/>
      <w:lvlJc w:val="left"/>
      <w:pPr>
        <w:tabs>
          <w:tab w:val="num" w:pos="2160"/>
        </w:tabs>
        <w:ind w:left="2160" w:hanging="360"/>
      </w:pPr>
      <w:rPr>
        <w:rFonts w:ascii="Arial" w:hAnsi="Arial" w:hint="default"/>
      </w:rPr>
    </w:lvl>
    <w:lvl w:ilvl="3" w:tplc="E346B6EE" w:tentative="1">
      <w:start w:val="1"/>
      <w:numFmt w:val="bullet"/>
      <w:lvlText w:val="–"/>
      <w:lvlJc w:val="left"/>
      <w:pPr>
        <w:tabs>
          <w:tab w:val="num" w:pos="2880"/>
        </w:tabs>
        <w:ind w:left="2880" w:hanging="360"/>
      </w:pPr>
      <w:rPr>
        <w:rFonts w:ascii="Arial" w:hAnsi="Arial" w:hint="default"/>
      </w:rPr>
    </w:lvl>
    <w:lvl w:ilvl="4" w:tplc="70804966" w:tentative="1">
      <w:start w:val="1"/>
      <w:numFmt w:val="bullet"/>
      <w:lvlText w:val="–"/>
      <w:lvlJc w:val="left"/>
      <w:pPr>
        <w:tabs>
          <w:tab w:val="num" w:pos="3600"/>
        </w:tabs>
        <w:ind w:left="3600" w:hanging="360"/>
      </w:pPr>
      <w:rPr>
        <w:rFonts w:ascii="Arial" w:hAnsi="Arial" w:hint="default"/>
      </w:rPr>
    </w:lvl>
    <w:lvl w:ilvl="5" w:tplc="2B3C25EE" w:tentative="1">
      <w:start w:val="1"/>
      <w:numFmt w:val="bullet"/>
      <w:lvlText w:val="–"/>
      <w:lvlJc w:val="left"/>
      <w:pPr>
        <w:tabs>
          <w:tab w:val="num" w:pos="4320"/>
        </w:tabs>
        <w:ind w:left="4320" w:hanging="360"/>
      </w:pPr>
      <w:rPr>
        <w:rFonts w:ascii="Arial" w:hAnsi="Arial" w:hint="default"/>
      </w:rPr>
    </w:lvl>
    <w:lvl w:ilvl="6" w:tplc="A35EE4A0" w:tentative="1">
      <w:start w:val="1"/>
      <w:numFmt w:val="bullet"/>
      <w:lvlText w:val="–"/>
      <w:lvlJc w:val="left"/>
      <w:pPr>
        <w:tabs>
          <w:tab w:val="num" w:pos="5040"/>
        </w:tabs>
        <w:ind w:left="5040" w:hanging="360"/>
      </w:pPr>
      <w:rPr>
        <w:rFonts w:ascii="Arial" w:hAnsi="Arial" w:hint="default"/>
      </w:rPr>
    </w:lvl>
    <w:lvl w:ilvl="7" w:tplc="52E23768" w:tentative="1">
      <w:start w:val="1"/>
      <w:numFmt w:val="bullet"/>
      <w:lvlText w:val="–"/>
      <w:lvlJc w:val="left"/>
      <w:pPr>
        <w:tabs>
          <w:tab w:val="num" w:pos="5760"/>
        </w:tabs>
        <w:ind w:left="5760" w:hanging="360"/>
      </w:pPr>
      <w:rPr>
        <w:rFonts w:ascii="Arial" w:hAnsi="Arial" w:hint="default"/>
      </w:rPr>
    </w:lvl>
    <w:lvl w:ilvl="8" w:tplc="EFF881C0"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5"/>
  </w:num>
  <w:num w:numId="3">
    <w:abstractNumId w:val="14"/>
  </w:num>
  <w:num w:numId="4">
    <w:abstractNumId w:val="27"/>
  </w:num>
  <w:num w:numId="5">
    <w:abstractNumId w:val="16"/>
  </w:num>
  <w:num w:numId="6">
    <w:abstractNumId w:val="3"/>
  </w:num>
  <w:num w:numId="7">
    <w:abstractNumId w:val="24"/>
  </w:num>
  <w:num w:numId="8">
    <w:abstractNumId w:val="18"/>
  </w:num>
  <w:num w:numId="9">
    <w:abstractNumId w:val="7"/>
  </w:num>
  <w:num w:numId="10">
    <w:abstractNumId w:val="21"/>
  </w:num>
  <w:num w:numId="11">
    <w:abstractNumId w:val="6"/>
  </w:num>
  <w:num w:numId="12">
    <w:abstractNumId w:val="4"/>
  </w:num>
  <w:num w:numId="13">
    <w:abstractNumId w:val="12"/>
  </w:num>
  <w:num w:numId="14">
    <w:abstractNumId w:val="15"/>
  </w:num>
  <w:num w:numId="15">
    <w:abstractNumId w:val="13"/>
  </w:num>
  <w:num w:numId="16">
    <w:abstractNumId w:val="1"/>
  </w:num>
  <w:num w:numId="17">
    <w:abstractNumId w:val="22"/>
  </w:num>
  <w:num w:numId="18">
    <w:abstractNumId w:val="17"/>
  </w:num>
  <w:num w:numId="19">
    <w:abstractNumId w:val="26"/>
  </w:num>
  <w:num w:numId="20">
    <w:abstractNumId w:val="20"/>
  </w:num>
  <w:num w:numId="21">
    <w:abstractNumId w:val="11"/>
  </w:num>
  <w:num w:numId="22">
    <w:abstractNumId w:val="10"/>
  </w:num>
  <w:num w:numId="23">
    <w:abstractNumId w:val="19"/>
  </w:num>
  <w:num w:numId="24">
    <w:abstractNumId w:val="0"/>
  </w:num>
  <w:num w:numId="25">
    <w:abstractNumId w:val="23"/>
  </w:num>
  <w:num w:numId="26">
    <w:abstractNumId w:val="28"/>
  </w:num>
  <w:num w:numId="27">
    <w:abstractNumId w:val="8"/>
  </w:num>
  <w:num w:numId="28">
    <w:abstractNumId w:val="2"/>
  </w:num>
  <w:num w:numId="29">
    <w:abstractNumId w:val="25"/>
  </w:num>
  <w:num w:numId="30">
    <w:abstractNumId w:val="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zMDYzMjI3MrI0NbJU0lEKTi0uzszPAymwrAUAUh5swiwAAAA="/>
  </w:docVars>
  <w:rsids>
    <w:rsidRoot w:val="00EE565C"/>
    <w:rsid w:val="00010BDE"/>
    <w:rsid w:val="00012ABA"/>
    <w:rsid w:val="00020031"/>
    <w:rsid w:val="000235F3"/>
    <w:rsid w:val="00024334"/>
    <w:rsid w:val="00025583"/>
    <w:rsid w:val="00027EAC"/>
    <w:rsid w:val="00036665"/>
    <w:rsid w:val="00036BA2"/>
    <w:rsid w:val="000377E0"/>
    <w:rsid w:val="00041176"/>
    <w:rsid w:val="0004520F"/>
    <w:rsid w:val="00047B2D"/>
    <w:rsid w:val="00047DF0"/>
    <w:rsid w:val="000522C1"/>
    <w:rsid w:val="00055675"/>
    <w:rsid w:val="00057005"/>
    <w:rsid w:val="0006024E"/>
    <w:rsid w:val="0006061E"/>
    <w:rsid w:val="000614E9"/>
    <w:rsid w:val="00062023"/>
    <w:rsid w:val="000640E7"/>
    <w:rsid w:val="0006514F"/>
    <w:rsid w:val="000651C9"/>
    <w:rsid w:val="00067E10"/>
    <w:rsid w:val="000738BA"/>
    <w:rsid w:val="00074EEA"/>
    <w:rsid w:val="00075050"/>
    <w:rsid w:val="0007578A"/>
    <w:rsid w:val="00075D3F"/>
    <w:rsid w:val="00085AD4"/>
    <w:rsid w:val="000909AA"/>
    <w:rsid w:val="00091434"/>
    <w:rsid w:val="00095EA5"/>
    <w:rsid w:val="000971AE"/>
    <w:rsid w:val="000A4BCB"/>
    <w:rsid w:val="000A684D"/>
    <w:rsid w:val="000A75D7"/>
    <w:rsid w:val="000A7B70"/>
    <w:rsid w:val="000B2B54"/>
    <w:rsid w:val="000C725A"/>
    <w:rsid w:val="000D6BEB"/>
    <w:rsid w:val="000E0A83"/>
    <w:rsid w:val="000E151E"/>
    <w:rsid w:val="000E3088"/>
    <w:rsid w:val="000E4B27"/>
    <w:rsid w:val="000E6C45"/>
    <w:rsid w:val="000E7EA4"/>
    <w:rsid w:val="000F0375"/>
    <w:rsid w:val="000F057D"/>
    <w:rsid w:val="000F07D5"/>
    <w:rsid w:val="000F0C87"/>
    <w:rsid w:val="000F32F3"/>
    <w:rsid w:val="000F6B6F"/>
    <w:rsid w:val="000F7656"/>
    <w:rsid w:val="00100A52"/>
    <w:rsid w:val="00110838"/>
    <w:rsid w:val="00112DC5"/>
    <w:rsid w:val="001157C4"/>
    <w:rsid w:val="00115C98"/>
    <w:rsid w:val="00117E1E"/>
    <w:rsid w:val="0012060F"/>
    <w:rsid w:val="0012624F"/>
    <w:rsid w:val="00137235"/>
    <w:rsid w:val="00144335"/>
    <w:rsid w:val="00146970"/>
    <w:rsid w:val="00146EC4"/>
    <w:rsid w:val="00147AF2"/>
    <w:rsid w:val="00147C8A"/>
    <w:rsid w:val="00151ADC"/>
    <w:rsid w:val="00152019"/>
    <w:rsid w:val="00157A01"/>
    <w:rsid w:val="001620A4"/>
    <w:rsid w:val="0016230C"/>
    <w:rsid w:val="00162DEC"/>
    <w:rsid w:val="00165018"/>
    <w:rsid w:val="00167B93"/>
    <w:rsid w:val="00167C18"/>
    <w:rsid w:val="00172B94"/>
    <w:rsid w:val="00194C70"/>
    <w:rsid w:val="0019565B"/>
    <w:rsid w:val="001A4CE8"/>
    <w:rsid w:val="001A74C4"/>
    <w:rsid w:val="001B197C"/>
    <w:rsid w:val="001B4FE4"/>
    <w:rsid w:val="001B6649"/>
    <w:rsid w:val="001B73F0"/>
    <w:rsid w:val="001D2090"/>
    <w:rsid w:val="001D27E7"/>
    <w:rsid w:val="001D3598"/>
    <w:rsid w:val="001E7555"/>
    <w:rsid w:val="001F2FEE"/>
    <w:rsid w:val="001F4391"/>
    <w:rsid w:val="001F4F86"/>
    <w:rsid w:val="001F5B9C"/>
    <w:rsid w:val="001F5FE2"/>
    <w:rsid w:val="001F7F4F"/>
    <w:rsid w:val="002015C5"/>
    <w:rsid w:val="00201DBB"/>
    <w:rsid w:val="00203C85"/>
    <w:rsid w:val="00204179"/>
    <w:rsid w:val="00204361"/>
    <w:rsid w:val="00204F96"/>
    <w:rsid w:val="00205C88"/>
    <w:rsid w:val="00205F35"/>
    <w:rsid w:val="00206002"/>
    <w:rsid w:val="002065AE"/>
    <w:rsid w:val="002152D9"/>
    <w:rsid w:val="00217202"/>
    <w:rsid w:val="002223D7"/>
    <w:rsid w:val="00222CD6"/>
    <w:rsid w:val="00226D38"/>
    <w:rsid w:val="00226EDD"/>
    <w:rsid w:val="00230441"/>
    <w:rsid w:val="00230D38"/>
    <w:rsid w:val="00231361"/>
    <w:rsid w:val="002317E0"/>
    <w:rsid w:val="00233EE7"/>
    <w:rsid w:val="00235204"/>
    <w:rsid w:val="00236E8F"/>
    <w:rsid w:val="00240428"/>
    <w:rsid w:val="00242F0D"/>
    <w:rsid w:val="00246918"/>
    <w:rsid w:val="00246C83"/>
    <w:rsid w:val="00252555"/>
    <w:rsid w:val="00253A73"/>
    <w:rsid w:val="00257222"/>
    <w:rsid w:val="00257294"/>
    <w:rsid w:val="002572D0"/>
    <w:rsid w:val="002578DC"/>
    <w:rsid w:val="00257E6F"/>
    <w:rsid w:val="00260F97"/>
    <w:rsid w:val="002672E4"/>
    <w:rsid w:val="0026738F"/>
    <w:rsid w:val="002740BD"/>
    <w:rsid w:val="002746BB"/>
    <w:rsid w:val="00276A96"/>
    <w:rsid w:val="00280FC1"/>
    <w:rsid w:val="00285C84"/>
    <w:rsid w:val="002860CA"/>
    <w:rsid w:val="00290322"/>
    <w:rsid w:val="00291BCE"/>
    <w:rsid w:val="00292B62"/>
    <w:rsid w:val="0029460A"/>
    <w:rsid w:val="00295466"/>
    <w:rsid w:val="00296D41"/>
    <w:rsid w:val="002A2F5C"/>
    <w:rsid w:val="002A37E5"/>
    <w:rsid w:val="002A5A65"/>
    <w:rsid w:val="002A7DE5"/>
    <w:rsid w:val="002B086B"/>
    <w:rsid w:val="002B108A"/>
    <w:rsid w:val="002B11FF"/>
    <w:rsid w:val="002B1C4D"/>
    <w:rsid w:val="002B27D5"/>
    <w:rsid w:val="002B2C51"/>
    <w:rsid w:val="002B3305"/>
    <w:rsid w:val="002B5717"/>
    <w:rsid w:val="002B584B"/>
    <w:rsid w:val="002C0557"/>
    <w:rsid w:val="002D005A"/>
    <w:rsid w:val="002D4DC4"/>
    <w:rsid w:val="002D7BC5"/>
    <w:rsid w:val="002E6E5E"/>
    <w:rsid w:val="002E6E78"/>
    <w:rsid w:val="002E79C8"/>
    <w:rsid w:val="002F2EE6"/>
    <w:rsid w:val="00305561"/>
    <w:rsid w:val="00305E28"/>
    <w:rsid w:val="00311E46"/>
    <w:rsid w:val="003136F7"/>
    <w:rsid w:val="003145F5"/>
    <w:rsid w:val="00316CB6"/>
    <w:rsid w:val="00317A73"/>
    <w:rsid w:val="0032098A"/>
    <w:rsid w:val="00324AD0"/>
    <w:rsid w:val="00325604"/>
    <w:rsid w:val="00331E40"/>
    <w:rsid w:val="00332653"/>
    <w:rsid w:val="00335173"/>
    <w:rsid w:val="00337874"/>
    <w:rsid w:val="003451B7"/>
    <w:rsid w:val="00352B53"/>
    <w:rsid w:val="003531A7"/>
    <w:rsid w:val="00355080"/>
    <w:rsid w:val="00355BFB"/>
    <w:rsid w:val="0036111A"/>
    <w:rsid w:val="00361929"/>
    <w:rsid w:val="0036308D"/>
    <w:rsid w:val="00365FCE"/>
    <w:rsid w:val="00366AEE"/>
    <w:rsid w:val="00374665"/>
    <w:rsid w:val="00385CDA"/>
    <w:rsid w:val="00390CDE"/>
    <w:rsid w:val="00391A20"/>
    <w:rsid w:val="00392126"/>
    <w:rsid w:val="00392CEA"/>
    <w:rsid w:val="00393BA1"/>
    <w:rsid w:val="00394F3C"/>
    <w:rsid w:val="003960C6"/>
    <w:rsid w:val="00397EB7"/>
    <w:rsid w:val="003A0B4E"/>
    <w:rsid w:val="003A143F"/>
    <w:rsid w:val="003A2FF1"/>
    <w:rsid w:val="003A5EDA"/>
    <w:rsid w:val="003B1C04"/>
    <w:rsid w:val="003B59CF"/>
    <w:rsid w:val="003B5EC0"/>
    <w:rsid w:val="003B613A"/>
    <w:rsid w:val="003C70CD"/>
    <w:rsid w:val="003D03E2"/>
    <w:rsid w:val="003E3085"/>
    <w:rsid w:val="003E3EBC"/>
    <w:rsid w:val="003E6001"/>
    <w:rsid w:val="003E6478"/>
    <w:rsid w:val="003F5383"/>
    <w:rsid w:val="003F54E9"/>
    <w:rsid w:val="0041000E"/>
    <w:rsid w:val="004103FA"/>
    <w:rsid w:val="004126AE"/>
    <w:rsid w:val="004138FB"/>
    <w:rsid w:val="00415ECD"/>
    <w:rsid w:val="00421CD1"/>
    <w:rsid w:val="0042393E"/>
    <w:rsid w:val="00424538"/>
    <w:rsid w:val="0042495E"/>
    <w:rsid w:val="00431361"/>
    <w:rsid w:val="00431FA0"/>
    <w:rsid w:val="0043406E"/>
    <w:rsid w:val="0044095E"/>
    <w:rsid w:val="00442F6E"/>
    <w:rsid w:val="00445529"/>
    <w:rsid w:val="00447DBB"/>
    <w:rsid w:val="004505B8"/>
    <w:rsid w:val="00452153"/>
    <w:rsid w:val="00457CB2"/>
    <w:rsid w:val="00460DBD"/>
    <w:rsid w:val="00461FF6"/>
    <w:rsid w:val="0046577F"/>
    <w:rsid w:val="0046650F"/>
    <w:rsid w:val="00470B29"/>
    <w:rsid w:val="00472616"/>
    <w:rsid w:val="00472821"/>
    <w:rsid w:val="00476881"/>
    <w:rsid w:val="00485AD8"/>
    <w:rsid w:val="00487C2B"/>
    <w:rsid w:val="0049017D"/>
    <w:rsid w:val="004942DA"/>
    <w:rsid w:val="00497AD4"/>
    <w:rsid w:val="00497D93"/>
    <w:rsid w:val="004A4BDC"/>
    <w:rsid w:val="004A631E"/>
    <w:rsid w:val="004A78C8"/>
    <w:rsid w:val="004B408F"/>
    <w:rsid w:val="004C1F9D"/>
    <w:rsid w:val="004C396E"/>
    <w:rsid w:val="004C3C3B"/>
    <w:rsid w:val="004C486F"/>
    <w:rsid w:val="004D036D"/>
    <w:rsid w:val="004D1335"/>
    <w:rsid w:val="004D13A2"/>
    <w:rsid w:val="004D6B7F"/>
    <w:rsid w:val="004D74D8"/>
    <w:rsid w:val="004E37FB"/>
    <w:rsid w:val="004F1164"/>
    <w:rsid w:val="004F1275"/>
    <w:rsid w:val="004F67E9"/>
    <w:rsid w:val="004F6A42"/>
    <w:rsid w:val="00500D72"/>
    <w:rsid w:val="00512485"/>
    <w:rsid w:val="005141B0"/>
    <w:rsid w:val="00520E4D"/>
    <w:rsid w:val="0052460E"/>
    <w:rsid w:val="00524E55"/>
    <w:rsid w:val="00525171"/>
    <w:rsid w:val="00526985"/>
    <w:rsid w:val="00531791"/>
    <w:rsid w:val="0053580B"/>
    <w:rsid w:val="00535CAD"/>
    <w:rsid w:val="00535FA4"/>
    <w:rsid w:val="005412FF"/>
    <w:rsid w:val="0054144D"/>
    <w:rsid w:val="00543E2E"/>
    <w:rsid w:val="00555F17"/>
    <w:rsid w:val="005579C7"/>
    <w:rsid w:val="00560824"/>
    <w:rsid w:val="00561149"/>
    <w:rsid w:val="00561452"/>
    <w:rsid w:val="00562B65"/>
    <w:rsid w:val="005631F6"/>
    <w:rsid w:val="00563206"/>
    <w:rsid w:val="00564AA0"/>
    <w:rsid w:val="0056627E"/>
    <w:rsid w:val="00571188"/>
    <w:rsid w:val="00571766"/>
    <w:rsid w:val="00572228"/>
    <w:rsid w:val="005756FA"/>
    <w:rsid w:val="00582374"/>
    <w:rsid w:val="00582E38"/>
    <w:rsid w:val="005854CB"/>
    <w:rsid w:val="00586238"/>
    <w:rsid w:val="005871BA"/>
    <w:rsid w:val="00590BE2"/>
    <w:rsid w:val="00590E59"/>
    <w:rsid w:val="005919BF"/>
    <w:rsid w:val="00592E0C"/>
    <w:rsid w:val="005936FA"/>
    <w:rsid w:val="005A111F"/>
    <w:rsid w:val="005A248D"/>
    <w:rsid w:val="005A2817"/>
    <w:rsid w:val="005A333B"/>
    <w:rsid w:val="005A4378"/>
    <w:rsid w:val="005A6909"/>
    <w:rsid w:val="005A71B6"/>
    <w:rsid w:val="005A7B84"/>
    <w:rsid w:val="005B0D8F"/>
    <w:rsid w:val="005B274B"/>
    <w:rsid w:val="005B35F4"/>
    <w:rsid w:val="005B4796"/>
    <w:rsid w:val="005B5353"/>
    <w:rsid w:val="005B5583"/>
    <w:rsid w:val="005B5D05"/>
    <w:rsid w:val="005C18FC"/>
    <w:rsid w:val="005D2C0A"/>
    <w:rsid w:val="005D2FCC"/>
    <w:rsid w:val="005E0D75"/>
    <w:rsid w:val="005E0D81"/>
    <w:rsid w:val="005E17FB"/>
    <w:rsid w:val="005E428A"/>
    <w:rsid w:val="005E5183"/>
    <w:rsid w:val="005E5354"/>
    <w:rsid w:val="005E5795"/>
    <w:rsid w:val="005F0AB6"/>
    <w:rsid w:val="005F24AB"/>
    <w:rsid w:val="005F4DE6"/>
    <w:rsid w:val="00601AD2"/>
    <w:rsid w:val="00607A0C"/>
    <w:rsid w:val="00610114"/>
    <w:rsid w:val="00622066"/>
    <w:rsid w:val="00622587"/>
    <w:rsid w:val="00622EC2"/>
    <w:rsid w:val="006321F8"/>
    <w:rsid w:val="00632A59"/>
    <w:rsid w:val="00633576"/>
    <w:rsid w:val="00643B42"/>
    <w:rsid w:val="00645C2A"/>
    <w:rsid w:val="00646B0A"/>
    <w:rsid w:val="00650326"/>
    <w:rsid w:val="00652D37"/>
    <w:rsid w:val="00654301"/>
    <w:rsid w:val="00662518"/>
    <w:rsid w:val="00662DAC"/>
    <w:rsid w:val="00665C47"/>
    <w:rsid w:val="006668C2"/>
    <w:rsid w:val="00670151"/>
    <w:rsid w:val="006725A6"/>
    <w:rsid w:val="00685DD6"/>
    <w:rsid w:val="00686C33"/>
    <w:rsid w:val="00687E0E"/>
    <w:rsid w:val="006A0F7C"/>
    <w:rsid w:val="006A52FD"/>
    <w:rsid w:val="006B2133"/>
    <w:rsid w:val="006B2E74"/>
    <w:rsid w:val="006B429F"/>
    <w:rsid w:val="006B457F"/>
    <w:rsid w:val="006B6EED"/>
    <w:rsid w:val="006C1C49"/>
    <w:rsid w:val="006C3B52"/>
    <w:rsid w:val="006C4798"/>
    <w:rsid w:val="006C5EE7"/>
    <w:rsid w:val="006C6B6F"/>
    <w:rsid w:val="006C74AF"/>
    <w:rsid w:val="006D2FE4"/>
    <w:rsid w:val="006D4DC1"/>
    <w:rsid w:val="006D715C"/>
    <w:rsid w:val="006E5364"/>
    <w:rsid w:val="006E775C"/>
    <w:rsid w:val="006F1DD8"/>
    <w:rsid w:val="006F213E"/>
    <w:rsid w:val="006F39DD"/>
    <w:rsid w:val="006F5911"/>
    <w:rsid w:val="006F67C9"/>
    <w:rsid w:val="0070205F"/>
    <w:rsid w:val="00704B47"/>
    <w:rsid w:val="00705163"/>
    <w:rsid w:val="0070542E"/>
    <w:rsid w:val="00706987"/>
    <w:rsid w:val="0070705C"/>
    <w:rsid w:val="00712E62"/>
    <w:rsid w:val="00714D33"/>
    <w:rsid w:val="00715B1C"/>
    <w:rsid w:val="007200BA"/>
    <w:rsid w:val="007267C4"/>
    <w:rsid w:val="007267C8"/>
    <w:rsid w:val="00732AD1"/>
    <w:rsid w:val="00741663"/>
    <w:rsid w:val="007521A8"/>
    <w:rsid w:val="007552D6"/>
    <w:rsid w:val="00760B3D"/>
    <w:rsid w:val="0076128B"/>
    <w:rsid w:val="00766A57"/>
    <w:rsid w:val="007814C9"/>
    <w:rsid w:val="00787546"/>
    <w:rsid w:val="0078787A"/>
    <w:rsid w:val="00787C57"/>
    <w:rsid w:val="00793153"/>
    <w:rsid w:val="00793162"/>
    <w:rsid w:val="007A00FC"/>
    <w:rsid w:val="007A07C9"/>
    <w:rsid w:val="007A10A5"/>
    <w:rsid w:val="007A2BA2"/>
    <w:rsid w:val="007B122D"/>
    <w:rsid w:val="007B2CD1"/>
    <w:rsid w:val="007B5C93"/>
    <w:rsid w:val="007C280B"/>
    <w:rsid w:val="007C5111"/>
    <w:rsid w:val="007D0EEB"/>
    <w:rsid w:val="007D2C46"/>
    <w:rsid w:val="007E2497"/>
    <w:rsid w:val="007E3201"/>
    <w:rsid w:val="007E64D9"/>
    <w:rsid w:val="007F1824"/>
    <w:rsid w:val="007F3E6B"/>
    <w:rsid w:val="007F5804"/>
    <w:rsid w:val="007F707E"/>
    <w:rsid w:val="00800A57"/>
    <w:rsid w:val="00800CE0"/>
    <w:rsid w:val="00801E90"/>
    <w:rsid w:val="00805310"/>
    <w:rsid w:val="0080550E"/>
    <w:rsid w:val="0081109A"/>
    <w:rsid w:val="00811CCC"/>
    <w:rsid w:val="00812335"/>
    <w:rsid w:val="0081346E"/>
    <w:rsid w:val="00813DC9"/>
    <w:rsid w:val="0081405E"/>
    <w:rsid w:val="008252A6"/>
    <w:rsid w:val="00833223"/>
    <w:rsid w:val="00833DB3"/>
    <w:rsid w:val="00852A9B"/>
    <w:rsid w:val="008558C6"/>
    <w:rsid w:val="00857630"/>
    <w:rsid w:val="008647D1"/>
    <w:rsid w:val="00865585"/>
    <w:rsid w:val="008660EA"/>
    <w:rsid w:val="008667EA"/>
    <w:rsid w:val="00866D39"/>
    <w:rsid w:val="00871194"/>
    <w:rsid w:val="008716FF"/>
    <w:rsid w:val="00872EE1"/>
    <w:rsid w:val="008759EF"/>
    <w:rsid w:val="00882F67"/>
    <w:rsid w:val="00885D90"/>
    <w:rsid w:val="00887587"/>
    <w:rsid w:val="00895EF9"/>
    <w:rsid w:val="008A48AB"/>
    <w:rsid w:val="008B4F97"/>
    <w:rsid w:val="008C15BE"/>
    <w:rsid w:val="008C2E31"/>
    <w:rsid w:val="008C3EC9"/>
    <w:rsid w:val="008D0F2B"/>
    <w:rsid w:val="008D1A08"/>
    <w:rsid w:val="008D260A"/>
    <w:rsid w:val="008D4277"/>
    <w:rsid w:val="008D474C"/>
    <w:rsid w:val="008D57B4"/>
    <w:rsid w:val="008D76A6"/>
    <w:rsid w:val="008E275B"/>
    <w:rsid w:val="008E6B17"/>
    <w:rsid w:val="008E7A4C"/>
    <w:rsid w:val="008F09E7"/>
    <w:rsid w:val="008F3D24"/>
    <w:rsid w:val="00900BC3"/>
    <w:rsid w:val="009020DA"/>
    <w:rsid w:val="00902352"/>
    <w:rsid w:val="009114F4"/>
    <w:rsid w:val="00915416"/>
    <w:rsid w:val="009205AF"/>
    <w:rsid w:val="00927A14"/>
    <w:rsid w:val="0094106C"/>
    <w:rsid w:val="00942BD0"/>
    <w:rsid w:val="00946EA6"/>
    <w:rsid w:val="00951B36"/>
    <w:rsid w:val="00956B01"/>
    <w:rsid w:val="00962134"/>
    <w:rsid w:val="00962B22"/>
    <w:rsid w:val="009645E6"/>
    <w:rsid w:val="009654C5"/>
    <w:rsid w:val="00970BB4"/>
    <w:rsid w:val="00970C9D"/>
    <w:rsid w:val="00975789"/>
    <w:rsid w:val="00984F60"/>
    <w:rsid w:val="00985072"/>
    <w:rsid w:val="00986701"/>
    <w:rsid w:val="0099174C"/>
    <w:rsid w:val="00993450"/>
    <w:rsid w:val="009945CE"/>
    <w:rsid w:val="00994BD7"/>
    <w:rsid w:val="00997638"/>
    <w:rsid w:val="009A2E96"/>
    <w:rsid w:val="009B010F"/>
    <w:rsid w:val="009B1FC2"/>
    <w:rsid w:val="009B299A"/>
    <w:rsid w:val="009B5B5C"/>
    <w:rsid w:val="009B62F6"/>
    <w:rsid w:val="009B73C7"/>
    <w:rsid w:val="009C3DEF"/>
    <w:rsid w:val="009C4687"/>
    <w:rsid w:val="009D0E9D"/>
    <w:rsid w:val="009D141D"/>
    <w:rsid w:val="009D2D5C"/>
    <w:rsid w:val="009D5552"/>
    <w:rsid w:val="009E265B"/>
    <w:rsid w:val="009E6D30"/>
    <w:rsid w:val="009F1F53"/>
    <w:rsid w:val="009F358A"/>
    <w:rsid w:val="009F36D4"/>
    <w:rsid w:val="009F53F7"/>
    <w:rsid w:val="009F6E9D"/>
    <w:rsid w:val="009F7D9B"/>
    <w:rsid w:val="00A02343"/>
    <w:rsid w:val="00A06548"/>
    <w:rsid w:val="00A067BB"/>
    <w:rsid w:val="00A1082D"/>
    <w:rsid w:val="00A11D43"/>
    <w:rsid w:val="00A11D68"/>
    <w:rsid w:val="00A13EAA"/>
    <w:rsid w:val="00A2212B"/>
    <w:rsid w:val="00A22F06"/>
    <w:rsid w:val="00A253CA"/>
    <w:rsid w:val="00A26836"/>
    <w:rsid w:val="00A26DE5"/>
    <w:rsid w:val="00A32CE4"/>
    <w:rsid w:val="00A3300A"/>
    <w:rsid w:val="00A35221"/>
    <w:rsid w:val="00A35CAC"/>
    <w:rsid w:val="00A41EC6"/>
    <w:rsid w:val="00A43E8B"/>
    <w:rsid w:val="00A44197"/>
    <w:rsid w:val="00A50605"/>
    <w:rsid w:val="00A50EBF"/>
    <w:rsid w:val="00A5240F"/>
    <w:rsid w:val="00A52AEA"/>
    <w:rsid w:val="00A55839"/>
    <w:rsid w:val="00A561D4"/>
    <w:rsid w:val="00A62686"/>
    <w:rsid w:val="00A67A37"/>
    <w:rsid w:val="00A806BD"/>
    <w:rsid w:val="00A82EB4"/>
    <w:rsid w:val="00A8370D"/>
    <w:rsid w:val="00A838E1"/>
    <w:rsid w:val="00A86A74"/>
    <w:rsid w:val="00A873AB"/>
    <w:rsid w:val="00A91AD2"/>
    <w:rsid w:val="00AA0ABE"/>
    <w:rsid w:val="00AA0B47"/>
    <w:rsid w:val="00AA506A"/>
    <w:rsid w:val="00AB4E75"/>
    <w:rsid w:val="00AB51CC"/>
    <w:rsid w:val="00AB6C76"/>
    <w:rsid w:val="00AC2FEB"/>
    <w:rsid w:val="00AC3341"/>
    <w:rsid w:val="00AD421A"/>
    <w:rsid w:val="00AD537F"/>
    <w:rsid w:val="00AD5B80"/>
    <w:rsid w:val="00AE080C"/>
    <w:rsid w:val="00AE0EAD"/>
    <w:rsid w:val="00AE130A"/>
    <w:rsid w:val="00AF0847"/>
    <w:rsid w:val="00AF7FA7"/>
    <w:rsid w:val="00B0030B"/>
    <w:rsid w:val="00B0059E"/>
    <w:rsid w:val="00B02C73"/>
    <w:rsid w:val="00B035AC"/>
    <w:rsid w:val="00B0367D"/>
    <w:rsid w:val="00B043EE"/>
    <w:rsid w:val="00B04838"/>
    <w:rsid w:val="00B05148"/>
    <w:rsid w:val="00B068F5"/>
    <w:rsid w:val="00B07DBB"/>
    <w:rsid w:val="00B13D18"/>
    <w:rsid w:val="00B14048"/>
    <w:rsid w:val="00B171EF"/>
    <w:rsid w:val="00B24082"/>
    <w:rsid w:val="00B25D5E"/>
    <w:rsid w:val="00B32CA3"/>
    <w:rsid w:val="00B3420F"/>
    <w:rsid w:val="00B36718"/>
    <w:rsid w:val="00B42247"/>
    <w:rsid w:val="00B4271B"/>
    <w:rsid w:val="00B47670"/>
    <w:rsid w:val="00B47D8C"/>
    <w:rsid w:val="00B5435F"/>
    <w:rsid w:val="00B61634"/>
    <w:rsid w:val="00B62AEE"/>
    <w:rsid w:val="00B62E01"/>
    <w:rsid w:val="00B62FFF"/>
    <w:rsid w:val="00B6478A"/>
    <w:rsid w:val="00B7728E"/>
    <w:rsid w:val="00B77926"/>
    <w:rsid w:val="00B77A70"/>
    <w:rsid w:val="00B829C1"/>
    <w:rsid w:val="00B830D4"/>
    <w:rsid w:val="00B83BAD"/>
    <w:rsid w:val="00B84725"/>
    <w:rsid w:val="00B86E9F"/>
    <w:rsid w:val="00B8774F"/>
    <w:rsid w:val="00B909F2"/>
    <w:rsid w:val="00BA00AE"/>
    <w:rsid w:val="00BA2A4C"/>
    <w:rsid w:val="00BA45DF"/>
    <w:rsid w:val="00BB0788"/>
    <w:rsid w:val="00BB3597"/>
    <w:rsid w:val="00BB3A37"/>
    <w:rsid w:val="00BB4C1E"/>
    <w:rsid w:val="00BB50FC"/>
    <w:rsid w:val="00BC3AC5"/>
    <w:rsid w:val="00BD00B4"/>
    <w:rsid w:val="00BD0ED6"/>
    <w:rsid w:val="00BD1029"/>
    <w:rsid w:val="00BD146B"/>
    <w:rsid w:val="00BD22E9"/>
    <w:rsid w:val="00BD28BD"/>
    <w:rsid w:val="00BD28FA"/>
    <w:rsid w:val="00BD3A3B"/>
    <w:rsid w:val="00BD4520"/>
    <w:rsid w:val="00BD4E61"/>
    <w:rsid w:val="00BE3862"/>
    <w:rsid w:val="00BE6DF6"/>
    <w:rsid w:val="00BF129D"/>
    <w:rsid w:val="00BF361F"/>
    <w:rsid w:val="00BF50D9"/>
    <w:rsid w:val="00BF5EE7"/>
    <w:rsid w:val="00BF66AD"/>
    <w:rsid w:val="00C03CC4"/>
    <w:rsid w:val="00C04570"/>
    <w:rsid w:val="00C07016"/>
    <w:rsid w:val="00C12899"/>
    <w:rsid w:val="00C14142"/>
    <w:rsid w:val="00C14CFA"/>
    <w:rsid w:val="00C1689F"/>
    <w:rsid w:val="00C261EC"/>
    <w:rsid w:val="00C30D96"/>
    <w:rsid w:val="00C31CE2"/>
    <w:rsid w:val="00C31F9A"/>
    <w:rsid w:val="00C34018"/>
    <w:rsid w:val="00C37A05"/>
    <w:rsid w:val="00C37A5D"/>
    <w:rsid w:val="00C40A02"/>
    <w:rsid w:val="00C4491A"/>
    <w:rsid w:val="00C60626"/>
    <w:rsid w:val="00C64C99"/>
    <w:rsid w:val="00C70270"/>
    <w:rsid w:val="00C73A1F"/>
    <w:rsid w:val="00C74737"/>
    <w:rsid w:val="00C77AF6"/>
    <w:rsid w:val="00C815F6"/>
    <w:rsid w:val="00C8187F"/>
    <w:rsid w:val="00C81BFF"/>
    <w:rsid w:val="00C820B8"/>
    <w:rsid w:val="00C825BB"/>
    <w:rsid w:val="00C837EE"/>
    <w:rsid w:val="00C83C57"/>
    <w:rsid w:val="00C84C35"/>
    <w:rsid w:val="00C90C24"/>
    <w:rsid w:val="00C90F79"/>
    <w:rsid w:val="00C9106A"/>
    <w:rsid w:val="00C95502"/>
    <w:rsid w:val="00C97206"/>
    <w:rsid w:val="00C97679"/>
    <w:rsid w:val="00C97A2E"/>
    <w:rsid w:val="00CA1821"/>
    <w:rsid w:val="00CA1EA4"/>
    <w:rsid w:val="00CA7101"/>
    <w:rsid w:val="00CA73D8"/>
    <w:rsid w:val="00CB035C"/>
    <w:rsid w:val="00CB1B6C"/>
    <w:rsid w:val="00CB2CA1"/>
    <w:rsid w:val="00CB7D11"/>
    <w:rsid w:val="00CC1CF4"/>
    <w:rsid w:val="00CC200A"/>
    <w:rsid w:val="00CC3F03"/>
    <w:rsid w:val="00CC5D4F"/>
    <w:rsid w:val="00CC6442"/>
    <w:rsid w:val="00CD07DE"/>
    <w:rsid w:val="00CD1EA1"/>
    <w:rsid w:val="00CD25CA"/>
    <w:rsid w:val="00CD2C72"/>
    <w:rsid w:val="00CD51BD"/>
    <w:rsid w:val="00CE20C9"/>
    <w:rsid w:val="00CE5646"/>
    <w:rsid w:val="00CF5E02"/>
    <w:rsid w:val="00CF7E3A"/>
    <w:rsid w:val="00D01E42"/>
    <w:rsid w:val="00D02437"/>
    <w:rsid w:val="00D02D87"/>
    <w:rsid w:val="00D03C7C"/>
    <w:rsid w:val="00D0644E"/>
    <w:rsid w:val="00D1084A"/>
    <w:rsid w:val="00D110CA"/>
    <w:rsid w:val="00D1194D"/>
    <w:rsid w:val="00D11FC3"/>
    <w:rsid w:val="00D15701"/>
    <w:rsid w:val="00D16BF7"/>
    <w:rsid w:val="00D214DF"/>
    <w:rsid w:val="00D25216"/>
    <w:rsid w:val="00D263B2"/>
    <w:rsid w:val="00D273B4"/>
    <w:rsid w:val="00D329D1"/>
    <w:rsid w:val="00D35264"/>
    <w:rsid w:val="00D3543E"/>
    <w:rsid w:val="00D40BF3"/>
    <w:rsid w:val="00D42693"/>
    <w:rsid w:val="00D45514"/>
    <w:rsid w:val="00D52865"/>
    <w:rsid w:val="00D52F0F"/>
    <w:rsid w:val="00D551CF"/>
    <w:rsid w:val="00D57A33"/>
    <w:rsid w:val="00D6463D"/>
    <w:rsid w:val="00D65922"/>
    <w:rsid w:val="00D778CD"/>
    <w:rsid w:val="00D77A65"/>
    <w:rsid w:val="00D81728"/>
    <w:rsid w:val="00D83A5F"/>
    <w:rsid w:val="00D860EA"/>
    <w:rsid w:val="00D86762"/>
    <w:rsid w:val="00D87A16"/>
    <w:rsid w:val="00D90D2C"/>
    <w:rsid w:val="00D924B3"/>
    <w:rsid w:val="00D95BD6"/>
    <w:rsid w:val="00DA3061"/>
    <w:rsid w:val="00DA60F6"/>
    <w:rsid w:val="00DA614F"/>
    <w:rsid w:val="00DB046D"/>
    <w:rsid w:val="00DB3497"/>
    <w:rsid w:val="00DB450E"/>
    <w:rsid w:val="00DB6BF7"/>
    <w:rsid w:val="00DC0102"/>
    <w:rsid w:val="00DC0435"/>
    <w:rsid w:val="00DC2454"/>
    <w:rsid w:val="00DC4C67"/>
    <w:rsid w:val="00DC7CF9"/>
    <w:rsid w:val="00DD23BA"/>
    <w:rsid w:val="00DE10D5"/>
    <w:rsid w:val="00DE27E9"/>
    <w:rsid w:val="00DE2B40"/>
    <w:rsid w:val="00DE2DE0"/>
    <w:rsid w:val="00DE66EF"/>
    <w:rsid w:val="00DE6746"/>
    <w:rsid w:val="00DE6DE7"/>
    <w:rsid w:val="00DF1B93"/>
    <w:rsid w:val="00DF2427"/>
    <w:rsid w:val="00E161DC"/>
    <w:rsid w:val="00E22E78"/>
    <w:rsid w:val="00E240CA"/>
    <w:rsid w:val="00E25BFB"/>
    <w:rsid w:val="00E267FE"/>
    <w:rsid w:val="00E26E62"/>
    <w:rsid w:val="00E2711A"/>
    <w:rsid w:val="00E32E01"/>
    <w:rsid w:val="00E34E06"/>
    <w:rsid w:val="00E37E6D"/>
    <w:rsid w:val="00E45AFA"/>
    <w:rsid w:val="00E45DFB"/>
    <w:rsid w:val="00E56141"/>
    <w:rsid w:val="00E563C7"/>
    <w:rsid w:val="00E735AC"/>
    <w:rsid w:val="00E75208"/>
    <w:rsid w:val="00E757C2"/>
    <w:rsid w:val="00E773FB"/>
    <w:rsid w:val="00E77BCD"/>
    <w:rsid w:val="00E80E66"/>
    <w:rsid w:val="00E83127"/>
    <w:rsid w:val="00E8548A"/>
    <w:rsid w:val="00E86AF8"/>
    <w:rsid w:val="00E90638"/>
    <w:rsid w:val="00E911D0"/>
    <w:rsid w:val="00E915B5"/>
    <w:rsid w:val="00E956B1"/>
    <w:rsid w:val="00E95A58"/>
    <w:rsid w:val="00E97B46"/>
    <w:rsid w:val="00EA2FEB"/>
    <w:rsid w:val="00EA3506"/>
    <w:rsid w:val="00EA52C9"/>
    <w:rsid w:val="00EA712F"/>
    <w:rsid w:val="00EA740D"/>
    <w:rsid w:val="00EB215A"/>
    <w:rsid w:val="00EC0315"/>
    <w:rsid w:val="00EC05CB"/>
    <w:rsid w:val="00EC28F0"/>
    <w:rsid w:val="00EC2BAE"/>
    <w:rsid w:val="00EC48DF"/>
    <w:rsid w:val="00EC670B"/>
    <w:rsid w:val="00ED0BCA"/>
    <w:rsid w:val="00ED15AD"/>
    <w:rsid w:val="00ED4C5C"/>
    <w:rsid w:val="00ED5BA9"/>
    <w:rsid w:val="00EE565C"/>
    <w:rsid w:val="00EF2FE2"/>
    <w:rsid w:val="00EF3B04"/>
    <w:rsid w:val="00F1047E"/>
    <w:rsid w:val="00F11775"/>
    <w:rsid w:val="00F2202A"/>
    <w:rsid w:val="00F224E9"/>
    <w:rsid w:val="00F2472A"/>
    <w:rsid w:val="00F276AB"/>
    <w:rsid w:val="00F31709"/>
    <w:rsid w:val="00F32784"/>
    <w:rsid w:val="00F35868"/>
    <w:rsid w:val="00F36179"/>
    <w:rsid w:val="00F36A5D"/>
    <w:rsid w:val="00F44E4D"/>
    <w:rsid w:val="00F479AC"/>
    <w:rsid w:val="00F47C28"/>
    <w:rsid w:val="00F518B3"/>
    <w:rsid w:val="00F524F8"/>
    <w:rsid w:val="00F63060"/>
    <w:rsid w:val="00F642B2"/>
    <w:rsid w:val="00F64F22"/>
    <w:rsid w:val="00F67135"/>
    <w:rsid w:val="00F71212"/>
    <w:rsid w:val="00F72947"/>
    <w:rsid w:val="00F7368C"/>
    <w:rsid w:val="00F74DE5"/>
    <w:rsid w:val="00F815B3"/>
    <w:rsid w:val="00F82AB0"/>
    <w:rsid w:val="00F96947"/>
    <w:rsid w:val="00F96B2C"/>
    <w:rsid w:val="00F96BC1"/>
    <w:rsid w:val="00FA0E4A"/>
    <w:rsid w:val="00FA58F2"/>
    <w:rsid w:val="00FB2BA8"/>
    <w:rsid w:val="00FB3B27"/>
    <w:rsid w:val="00FB6B02"/>
    <w:rsid w:val="00FC1CFE"/>
    <w:rsid w:val="00FD0FD6"/>
    <w:rsid w:val="00FD2CC8"/>
    <w:rsid w:val="00FD6ED2"/>
    <w:rsid w:val="00FE2DBC"/>
    <w:rsid w:val="00FE2E73"/>
    <w:rsid w:val="00FE32A0"/>
    <w:rsid w:val="00FE3603"/>
    <w:rsid w:val="00FE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75BD5C-3B7A-A74C-8E20-E30B97EE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39"/>
    <w:pPr>
      <w:ind w:left="720"/>
      <w:contextualSpacing/>
    </w:pPr>
  </w:style>
  <w:style w:type="paragraph" w:styleId="FootnoteText">
    <w:name w:val="footnote text"/>
    <w:basedOn w:val="Normal"/>
    <w:link w:val="FootnoteTextChar"/>
    <w:uiPriority w:val="99"/>
    <w:unhideWhenUsed/>
    <w:rsid w:val="00520E4D"/>
  </w:style>
  <w:style w:type="character" w:customStyle="1" w:styleId="FootnoteTextChar">
    <w:name w:val="Footnote Text Char"/>
    <w:basedOn w:val="DefaultParagraphFont"/>
    <w:link w:val="FootnoteText"/>
    <w:uiPriority w:val="99"/>
    <w:rsid w:val="00520E4D"/>
  </w:style>
  <w:style w:type="character" w:styleId="FootnoteReference">
    <w:name w:val="footnote reference"/>
    <w:basedOn w:val="DefaultParagraphFont"/>
    <w:uiPriority w:val="99"/>
    <w:unhideWhenUsed/>
    <w:rsid w:val="00520E4D"/>
    <w:rPr>
      <w:vertAlign w:val="superscript"/>
    </w:rPr>
  </w:style>
  <w:style w:type="paragraph" w:customStyle="1" w:styleId="BodyA">
    <w:name w:val="Body A"/>
    <w:rsid w:val="00F44E4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6C4798"/>
    <w:pPr>
      <w:tabs>
        <w:tab w:val="center" w:pos="4680"/>
        <w:tab w:val="right" w:pos="9360"/>
      </w:tabs>
    </w:pPr>
  </w:style>
  <w:style w:type="character" w:customStyle="1" w:styleId="HeaderChar">
    <w:name w:val="Header Char"/>
    <w:basedOn w:val="DefaultParagraphFont"/>
    <w:link w:val="Header"/>
    <w:uiPriority w:val="99"/>
    <w:rsid w:val="006C4798"/>
  </w:style>
  <w:style w:type="paragraph" w:styleId="Footer">
    <w:name w:val="footer"/>
    <w:basedOn w:val="Normal"/>
    <w:link w:val="FooterChar"/>
    <w:uiPriority w:val="99"/>
    <w:unhideWhenUsed/>
    <w:rsid w:val="006C4798"/>
    <w:pPr>
      <w:tabs>
        <w:tab w:val="center" w:pos="4680"/>
        <w:tab w:val="right" w:pos="9360"/>
      </w:tabs>
    </w:pPr>
  </w:style>
  <w:style w:type="character" w:customStyle="1" w:styleId="FooterChar">
    <w:name w:val="Footer Char"/>
    <w:basedOn w:val="DefaultParagraphFont"/>
    <w:link w:val="Footer"/>
    <w:uiPriority w:val="99"/>
    <w:rsid w:val="006C4798"/>
  </w:style>
  <w:style w:type="paragraph" w:customStyle="1" w:styleId="Default">
    <w:name w:val="Default"/>
    <w:rsid w:val="006C4798"/>
    <w:pPr>
      <w:pBdr>
        <w:top w:val="nil"/>
        <w:left w:val="nil"/>
        <w:bottom w:val="nil"/>
        <w:right w:val="nil"/>
        <w:between w:val="nil"/>
        <w:bar w:val="nil"/>
      </w:pBdr>
    </w:pPr>
    <w:rPr>
      <w:rFonts w:eastAsia="Times New Roman"/>
      <w:color w:val="000000"/>
      <w:u w:color="000000"/>
      <w:bdr w:val="nil"/>
    </w:rPr>
  </w:style>
  <w:style w:type="character" w:styleId="Emphasis">
    <w:name w:val="Emphasis"/>
    <w:basedOn w:val="DefaultParagraphFont"/>
    <w:uiPriority w:val="20"/>
    <w:qFormat/>
    <w:rsid w:val="00D924B3"/>
    <w:rPr>
      <w:i/>
      <w:iCs/>
    </w:rPr>
  </w:style>
  <w:style w:type="character" w:styleId="CommentReference">
    <w:name w:val="annotation reference"/>
    <w:basedOn w:val="DefaultParagraphFont"/>
    <w:uiPriority w:val="99"/>
    <w:semiHidden/>
    <w:unhideWhenUsed/>
    <w:rsid w:val="00DE2DE0"/>
    <w:rPr>
      <w:sz w:val="18"/>
      <w:szCs w:val="18"/>
    </w:rPr>
  </w:style>
  <w:style w:type="paragraph" w:styleId="CommentText">
    <w:name w:val="annotation text"/>
    <w:basedOn w:val="Normal"/>
    <w:link w:val="CommentTextChar"/>
    <w:uiPriority w:val="99"/>
    <w:semiHidden/>
    <w:unhideWhenUsed/>
    <w:rsid w:val="00DE2DE0"/>
  </w:style>
  <w:style w:type="character" w:customStyle="1" w:styleId="CommentTextChar">
    <w:name w:val="Comment Text Char"/>
    <w:basedOn w:val="DefaultParagraphFont"/>
    <w:link w:val="CommentText"/>
    <w:uiPriority w:val="99"/>
    <w:semiHidden/>
    <w:rsid w:val="00DE2DE0"/>
  </w:style>
  <w:style w:type="paragraph" w:styleId="CommentSubject">
    <w:name w:val="annotation subject"/>
    <w:basedOn w:val="CommentText"/>
    <w:next w:val="CommentText"/>
    <w:link w:val="CommentSubjectChar"/>
    <w:uiPriority w:val="99"/>
    <w:semiHidden/>
    <w:unhideWhenUsed/>
    <w:rsid w:val="00DE2DE0"/>
    <w:rPr>
      <w:b/>
      <w:bCs/>
      <w:sz w:val="20"/>
      <w:szCs w:val="20"/>
    </w:rPr>
  </w:style>
  <w:style w:type="character" w:customStyle="1" w:styleId="CommentSubjectChar">
    <w:name w:val="Comment Subject Char"/>
    <w:basedOn w:val="CommentTextChar"/>
    <w:link w:val="CommentSubject"/>
    <w:uiPriority w:val="99"/>
    <w:semiHidden/>
    <w:rsid w:val="00DE2DE0"/>
    <w:rPr>
      <w:b/>
      <w:bCs/>
      <w:sz w:val="20"/>
      <w:szCs w:val="20"/>
    </w:rPr>
  </w:style>
  <w:style w:type="paragraph" w:styleId="BalloonText">
    <w:name w:val="Balloon Text"/>
    <w:basedOn w:val="Normal"/>
    <w:link w:val="BalloonTextChar"/>
    <w:uiPriority w:val="99"/>
    <w:semiHidden/>
    <w:unhideWhenUsed/>
    <w:rsid w:val="00DE2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DE0"/>
    <w:rPr>
      <w:rFonts w:ascii="Lucida Grande" w:hAnsi="Lucida Grande" w:cs="Lucida Grande"/>
      <w:sz w:val="18"/>
      <w:szCs w:val="18"/>
    </w:rPr>
  </w:style>
  <w:style w:type="paragraph" w:styleId="NormalWeb">
    <w:name w:val="Normal (Web)"/>
    <w:basedOn w:val="Normal"/>
    <w:uiPriority w:val="99"/>
    <w:unhideWhenUsed/>
    <w:rsid w:val="007521A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62AEE"/>
  </w:style>
  <w:style w:type="character" w:styleId="Hyperlink">
    <w:name w:val="Hyperlink"/>
    <w:basedOn w:val="DefaultParagraphFont"/>
    <w:uiPriority w:val="99"/>
    <w:unhideWhenUsed/>
    <w:rsid w:val="00B62AEE"/>
    <w:rPr>
      <w:color w:val="0000FF"/>
      <w:u w:val="single"/>
    </w:rPr>
  </w:style>
  <w:style w:type="paragraph" w:customStyle="1" w:styleId="Normal0">
    <w:name w:val="Normal_0"/>
    <w:qFormat/>
    <w:rsid w:val="000D6BEB"/>
    <w:rPr>
      <w:rFonts w:eastAsia="Times New Roman"/>
    </w:rPr>
  </w:style>
  <w:style w:type="character" w:styleId="FollowedHyperlink">
    <w:name w:val="FollowedHyperlink"/>
    <w:basedOn w:val="DefaultParagraphFont"/>
    <w:uiPriority w:val="99"/>
    <w:semiHidden/>
    <w:unhideWhenUsed/>
    <w:rsid w:val="007E2497"/>
    <w:rPr>
      <w:color w:val="800080" w:themeColor="followedHyperlink"/>
      <w:u w:val="single"/>
    </w:rPr>
  </w:style>
  <w:style w:type="character" w:customStyle="1" w:styleId="cosearchterm">
    <w:name w:val="co_searchterm"/>
    <w:basedOn w:val="DefaultParagraphFont"/>
    <w:rsid w:val="00CD07DE"/>
  </w:style>
  <w:style w:type="character" w:customStyle="1" w:styleId="dbox-example">
    <w:name w:val="dbox-example"/>
    <w:basedOn w:val="DefaultParagraphFont"/>
    <w:rsid w:val="00CA73D8"/>
  </w:style>
  <w:style w:type="character" w:customStyle="1" w:styleId="def-number">
    <w:name w:val="def-number"/>
    <w:basedOn w:val="DefaultParagraphFont"/>
    <w:rsid w:val="00CA73D8"/>
  </w:style>
  <w:style w:type="character" w:customStyle="1" w:styleId="star-pagination">
    <w:name w:val="star-pagination"/>
    <w:basedOn w:val="DefaultParagraphFont"/>
    <w:rsid w:val="007A07C9"/>
  </w:style>
  <w:style w:type="paragraph" w:styleId="BodyText">
    <w:name w:val="Body Text"/>
    <w:basedOn w:val="Normal"/>
    <w:link w:val="BodyTextChar"/>
    <w:uiPriority w:val="1"/>
    <w:qFormat/>
    <w:rsid w:val="00A52AEA"/>
    <w:pPr>
      <w:widowControl w:val="0"/>
      <w:ind w:left="100"/>
    </w:pPr>
    <w:rPr>
      <w:rFonts w:eastAsia="Times New Roman" w:cstheme="minorBidi"/>
    </w:rPr>
  </w:style>
  <w:style w:type="character" w:customStyle="1" w:styleId="BodyTextChar">
    <w:name w:val="Body Text Char"/>
    <w:basedOn w:val="DefaultParagraphFont"/>
    <w:link w:val="BodyText"/>
    <w:uiPriority w:val="1"/>
    <w:rsid w:val="00A52AEA"/>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465">
      <w:bodyDiv w:val="1"/>
      <w:marLeft w:val="0"/>
      <w:marRight w:val="0"/>
      <w:marTop w:val="0"/>
      <w:marBottom w:val="0"/>
      <w:divBdr>
        <w:top w:val="none" w:sz="0" w:space="0" w:color="auto"/>
        <w:left w:val="none" w:sz="0" w:space="0" w:color="auto"/>
        <w:bottom w:val="none" w:sz="0" w:space="0" w:color="auto"/>
        <w:right w:val="none" w:sz="0" w:space="0" w:color="auto"/>
      </w:divBdr>
    </w:div>
    <w:div w:id="120615704">
      <w:bodyDiv w:val="1"/>
      <w:marLeft w:val="0"/>
      <w:marRight w:val="0"/>
      <w:marTop w:val="0"/>
      <w:marBottom w:val="0"/>
      <w:divBdr>
        <w:top w:val="none" w:sz="0" w:space="0" w:color="auto"/>
        <w:left w:val="none" w:sz="0" w:space="0" w:color="auto"/>
        <w:bottom w:val="none" w:sz="0" w:space="0" w:color="auto"/>
        <w:right w:val="none" w:sz="0" w:space="0" w:color="auto"/>
      </w:divBdr>
    </w:div>
    <w:div w:id="160316319">
      <w:bodyDiv w:val="1"/>
      <w:marLeft w:val="0"/>
      <w:marRight w:val="0"/>
      <w:marTop w:val="0"/>
      <w:marBottom w:val="0"/>
      <w:divBdr>
        <w:top w:val="none" w:sz="0" w:space="0" w:color="auto"/>
        <w:left w:val="none" w:sz="0" w:space="0" w:color="auto"/>
        <w:bottom w:val="none" w:sz="0" w:space="0" w:color="auto"/>
        <w:right w:val="none" w:sz="0" w:space="0" w:color="auto"/>
      </w:divBdr>
    </w:div>
    <w:div w:id="211770488">
      <w:bodyDiv w:val="1"/>
      <w:marLeft w:val="0"/>
      <w:marRight w:val="0"/>
      <w:marTop w:val="0"/>
      <w:marBottom w:val="0"/>
      <w:divBdr>
        <w:top w:val="none" w:sz="0" w:space="0" w:color="auto"/>
        <w:left w:val="none" w:sz="0" w:space="0" w:color="auto"/>
        <w:bottom w:val="none" w:sz="0" w:space="0" w:color="auto"/>
        <w:right w:val="none" w:sz="0" w:space="0" w:color="auto"/>
      </w:divBdr>
    </w:div>
    <w:div w:id="239607474">
      <w:bodyDiv w:val="1"/>
      <w:marLeft w:val="0"/>
      <w:marRight w:val="0"/>
      <w:marTop w:val="0"/>
      <w:marBottom w:val="0"/>
      <w:divBdr>
        <w:top w:val="none" w:sz="0" w:space="0" w:color="auto"/>
        <w:left w:val="none" w:sz="0" w:space="0" w:color="auto"/>
        <w:bottom w:val="none" w:sz="0" w:space="0" w:color="auto"/>
        <w:right w:val="none" w:sz="0" w:space="0" w:color="auto"/>
      </w:divBdr>
      <w:divsChild>
        <w:div w:id="30884832">
          <w:marLeft w:val="0"/>
          <w:marRight w:val="0"/>
          <w:marTop w:val="0"/>
          <w:marBottom w:val="0"/>
          <w:divBdr>
            <w:top w:val="none" w:sz="0" w:space="0" w:color="auto"/>
            <w:left w:val="none" w:sz="0" w:space="0" w:color="auto"/>
            <w:bottom w:val="none" w:sz="0" w:space="0" w:color="auto"/>
            <w:right w:val="none" w:sz="0" w:space="0" w:color="auto"/>
          </w:divBdr>
          <w:divsChild>
            <w:div w:id="1090004958">
              <w:marLeft w:val="0"/>
              <w:marRight w:val="0"/>
              <w:marTop w:val="0"/>
              <w:marBottom w:val="0"/>
              <w:divBdr>
                <w:top w:val="none" w:sz="0" w:space="0" w:color="auto"/>
                <w:left w:val="none" w:sz="0" w:space="0" w:color="auto"/>
                <w:bottom w:val="none" w:sz="0" w:space="0" w:color="auto"/>
                <w:right w:val="none" w:sz="0" w:space="0" w:color="auto"/>
              </w:divBdr>
              <w:divsChild>
                <w:div w:id="10910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6153">
      <w:bodyDiv w:val="1"/>
      <w:marLeft w:val="0"/>
      <w:marRight w:val="0"/>
      <w:marTop w:val="0"/>
      <w:marBottom w:val="0"/>
      <w:divBdr>
        <w:top w:val="none" w:sz="0" w:space="0" w:color="auto"/>
        <w:left w:val="none" w:sz="0" w:space="0" w:color="auto"/>
        <w:bottom w:val="none" w:sz="0" w:space="0" w:color="auto"/>
        <w:right w:val="none" w:sz="0" w:space="0" w:color="auto"/>
      </w:divBdr>
    </w:div>
    <w:div w:id="277643035">
      <w:bodyDiv w:val="1"/>
      <w:marLeft w:val="0"/>
      <w:marRight w:val="0"/>
      <w:marTop w:val="0"/>
      <w:marBottom w:val="0"/>
      <w:divBdr>
        <w:top w:val="none" w:sz="0" w:space="0" w:color="auto"/>
        <w:left w:val="none" w:sz="0" w:space="0" w:color="auto"/>
        <w:bottom w:val="none" w:sz="0" w:space="0" w:color="auto"/>
        <w:right w:val="none" w:sz="0" w:space="0" w:color="auto"/>
      </w:divBdr>
    </w:div>
    <w:div w:id="322050560">
      <w:bodyDiv w:val="1"/>
      <w:marLeft w:val="0"/>
      <w:marRight w:val="0"/>
      <w:marTop w:val="0"/>
      <w:marBottom w:val="0"/>
      <w:divBdr>
        <w:top w:val="none" w:sz="0" w:space="0" w:color="auto"/>
        <w:left w:val="none" w:sz="0" w:space="0" w:color="auto"/>
        <w:bottom w:val="none" w:sz="0" w:space="0" w:color="auto"/>
        <w:right w:val="none" w:sz="0" w:space="0" w:color="auto"/>
      </w:divBdr>
    </w:div>
    <w:div w:id="322394962">
      <w:bodyDiv w:val="1"/>
      <w:marLeft w:val="0"/>
      <w:marRight w:val="0"/>
      <w:marTop w:val="0"/>
      <w:marBottom w:val="0"/>
      <w:divBdr>
        <w:top w:val="none" w:sz="0" w:space="0" w:color="auto"/>
        <w:left w:val="none" w:sz="0" w:space="0" w:color="auto"/>
        <w:bottom w:val="none" w:sz="0" w:space="0" w:color="auto"/>
        <w:right w:val="none" w:sz="0" w:space="0" w:color="auto"/>
      </w:divBdr>
    </w:div>
    <w:div w:id="324747982">
      <w:bodyDiv w:val="1"/>
      <w:marLeft w:val="0"/>
      <w:marRight w:val="0"/>
      <w:marTop w:val="0"/>
      <w:marBottom w:val="0"/>
      <w:divBdr>
        <w:top w:val="none" w:sz="0" w:space="0" w:color="auto"/>
        <w:left w:val="none" w:sz="0" w:space="0" w:color="auto"/>
        <w:bottom w:val="none" w:sz="0" w:space="0" w:color="auto"/>
        <w:right w:val="none" w:sz="0" w:space="0" w:color="auto"/>
      </w:divBdr>
    </w:div>
    <w:div w:id="368918608">
      <w:bodyDiv w:val="1"/>
      <w:marLeft w:val="0"/>
      <w:marRight w:val="0"/>
      <w:marTop w:val="0"/>
      <w:marBottom w:val="0"/>
      <w:divBdr>
        <w:top w:val="none" w:sz="0" w:space="0" w:color="auto"/>
        <w:left w:val="none" w:sz="0" w:space="0" w:color="auto"/>
        <w:bottom w:val="none" w:sz="0" w:space="0" w:color="auto"/>
        <w:right w:val="none" w:sz="0" w:space="0" w:color="auto"/>
      </w:divBdr>
      <w:divsChild>
        <w:div w:id="265043412">
          <w:marLeft w:val="0"/>
          <w:marRight w:val="0"/>
          <w:marTop w:val="0"/>
          <w:marBottom w:val="0"/>
          <w:divBdr>
            <w:top w:val="none" w:sz="0" w:space="0" w:color="auto"/>
            <w:left w:val="none" w:sz="0" w:space="0" w:color="auto"/>
            <w:bottom w:val="none" w:sz="0" w:space="0" w:color="auto"/>
            <w:right w:val="none" w:sz="0" w:space="0" w:color="auto"/>
          </w:divBdr>
          <w:divsChild>
            <w:div w:id="10564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3363">
      <w:bodyDiv w:val="1"/>
      <w:marLeft w:val="0"/>
      <w:marRight w:val="0"/>
      <w:marTop w:val="0"/>
      <w:marBottom w:val="0"/>
      <w:divBdr>
        <w:top w:val="none" w:sz="0" w:space="0" w:color="auto"/>
        <w:left w:val="none" w:sz="0" w:space="0" w:color="auto"/>
        <w:bottom w:val="none" w:sz="0" w:space="0" w:color="auto"/>
        <w:right w:val="none" w:sz="0" w:space="0" w:color="auto"/>
      </w:divBdr>
    </w:div>
    <w:div w:id="467210914">
      <w:bodyDiv w:val="1"/>
      <w:marLeft w:val="0"/>
      <w:marRight w:val="0"/>
      <w:marTop w:val="0"/>
      <w:marBottom w:val="0"/>
      <w:divBdr>
        <w:top w:val="none" w:sz="0" w:space="0" w:color="auto"/>
        <w:left w:val="none" w:sz="0" w:space="0" w:color="auto"/>
        <w:bottom w:val="none" w:sz="0" w:space="0" w:color="auto"/>
        <w:right w:val="none" w:sz="0" w:space="0" w:color="auto"/>
      </w:divBdr>
    </w:div>
    <w:div w:id="525100825">
      <w:bodyDiv w:val="1"/>
      <w:marLeft w:val="0"/>
      <w:marRight w:val="0"/>
      <w:marTop w:val="0"/>
      <w:marBottom w:val="0"/>
      <w:divBdr>
        <w:top w:val="none" w:sz="0" w:space="0" w:color="auto"/>
        <w:left w:val="none" w:sz="0" w:space="0" w:color="auto"/>
        <w:bottom w:val="none" w:sz="0" w:space="0" w:color="auto"/>
        <w:right w:val="none" w:sz="0" w:space="0" w:color="auto"/>
      </w:divBdr>
    </w:div>
    <w:div w:id="570114547">
      <w:bodyDiv w:val="1"/>
      <w:marLeft w:val="0"/>
      <w:marRight w:val="0"/>
      <w:marTop w:val="0"/>
      <w:marBottom w:val="0"/>
      <w:divBdr>
        <w:top w:val="none" w:sz="0" w:space="0" w:color="auto"/>
        <w:left w:val="none" w:sz="0" w:space="0" w:color="auto"/>
        <w:bottom w:val="none" w:sz="0" w:space="0" w:color="auto"/>
        <w:right w:val="none" w:sz="0" w:space="0" w:color="auto"/>
      </w:divBdr>
    </w:div>
    <w:div w:id="604657212">
      <w:bodyDiv w:val="1"/>
      <w:marLeft w:val="0"/>
      <w:marRight w:val="0"/>
      <w:marTop w:val="0"/>
      <w:marBottom w:val="0"/>
      <w:divBdr>
        <w:top w:val="none" w:sz="0" w:space="0" w:color="auto"/>
        <w:left w:val="none" w:sz="0" w:space="0" w:color="auto"/>
        <w:bottom w:val="none" w:sz="0" w:space="0" w:color="auto"/>
        <w:right w:val="none" w:sz="0" w:space="0" w:color="auto"/>
      </w:divBdr>
      <w:divsChild>
        <w:div w:id="492795237">
          <w:marLeft w:val="806"/>
          <w:marRight w:val="0"/>
          <w:marTop w:val="0"/>
          <w:marBottom w:val="120"/>
          <w:divBdr>
            <w:top w:val="none" w:sz="0" w:space="0" w:color="auto"/>
            <w:left w:val="none" w:sz="0" w:space="0" w:color="auto"/>
            <w:bottom w:val="none" w:sz="0" w:space="0" w:color="auto"/>
            <w:right w:val="none" w:sz="0" w:space="0" w:color="auto"/>
          </w:divBdr>
        </w:div>
        <w:div w:id="387807984">
          <w:marLeft w:val="1440"/>
          <w:marRight w:val="0"/>
          <w:marTop w:val="0"/>
          <w:marBottom w:val="120"/>
          <w:divBdr>
            <w:top w:val="none" w:sz="0" w:space="0" w:color="auto"/>
            <w:left w:val="none" w:sz="0" w:space="0" w:color="auto"/>
            <w:bottom w:val="none" w:sz="0" w:space="0" w:color="auto"/>
            <w:right w:val="none" w:sz="0" w:space="0" w:color="auto"/>
          </w:divBdr>
        </w:div>
        <w:div w:id="1308313852">
          <w:marLeft w:val="806"/>
          <w:marRight w:val="0"/>
          <w:marTop w:val="0"/>
          <w:marBottom w:val="120"/>
          <w:divBdr>
            <w:top w:val="none" w:sz="0" w:space="0" w:color="auto"/>
            <w:left w:val="none" w:sz="0" w:space="0" w:color="auto"/>
            <w:bottom w:val="none" w:sz="0" w:space="0" w:color="auto"/>
            <w:right w:val="none" w:sz="0" w:space="0" w:color="auto"/>
          </w:divBdr>
        </w:div>
        <w:div w:id="1446539099">
          <w:marLeft w:val="806"/>
          <w:marRight w:val="0"/>
          <w:marTop w:val="0"/>
          <w:marBottom w:val="120"/>
          <w:divBdr>
            <w:top w:val="none" w:sz="0" w:space="0" w:color="auto"/>
            <w:left w:val="none" w:sz="0" w:space="0" w:color="auto"/>
            <w:bottom w:val="none" w:sz="0" w:space="0" w:color="auto"/>
            <w:right w:val="none" w:sz="0" w:space="0" w:color="auto"/>
          </w:divBdr>
        </w:div>
      </w:divsChild>
    </w:div>
    <w:div w:id="606543053">
      <w:bodyDiv w:val="1"/>
      <w:marLeft w:val="0"/>
      <w:marRight w:val="0"/>
      <w:marTop w:val="0"/>
      <w:marBottom w:val="0"/>
      <w:divBdr>
        <w:top w:val="none" w:sz="0" w:space="0" w:color="auto"/>
        <w:left w:val="none" w:sz="0" w:space="0" w:color="auto"/>
        <w:bottom w:val="none" w:sz="0" w:space="0" w:color="auto"/>
        <w:right w:val="none" w:sz="0" w:space="0" w:color="auto"/>
      </w:divBdr>
    </w:div>
    <w:div w:id="649989613">
      <w:bodyDiv w:val="1"/>
      <w:marLeft w:val="0"/>
      <w:marRight w:val="0"/>
      <w:marTop w:val="0"/>
      <w:marBottom w:val="0"/>
      <w:divBdr>
        <w:top w:val="none" w:sz="0" w:space="0" w:color="auto"/>
        <w:left w:val="none" w:sz="0" w:space="0" w:color="auto"/>
        <w:bottom w:val="none" w:sz="0" w:space="0" w:color="auto"/>
        <w:right w:val="none" w:sz="0" w:space="0" w:color="auto"/>
      </w:divBdr>
      <w:divsChild>
        <w:div w:id="208496293">
          <w:marLeft w:val="0"/>
          <w:marRight w:val="0"/>
          <w:marTop w:val="0"/>
          <w:marBottom w:val="0"/>
          <w:divBdr>
            <w:top w:val="none" w:sz="0" w:space="0" w:color="auto"/>
            <w:left w:val="none" w:sz="0" w:space="0" w:color="auto"/>
            <w:bottom w:val="none" w:sz="0" w:space="0" w:color="auto"/>
            <w:right w:val="none" w:sz="0" w:space="0" w:color="auto"/>
          </w:divBdr>
        </w:div>
        <w:div w:id="2080900258">
          <w:marLeft w:val="0"/>
          <w:marRight w:val="0"/>
          <w:marTop w:val="0"/>
          <w:marBottom w:val="0"/>
          <w:divBdr>
            <w:top w:val="none" w:sz="0" w:space="0" w:color="auto"/>
            <w:left w:val="none" w:sz="0" w:space="0" w:color="auto"/>
            <w:bottom w:val="none" w:sz="0" w:space="0" w:color="auto"/>
            <w:right w:val="none" w:sz="0" w:space="0" w:color="auto"/>
          </w:divBdr>
        </w:div>
        <w:div w:id="998968222">
          <w:marLeft w:val="0"/>
          <w:marRight w:val="0"/>
          <w:marTop w:val="0"/>
          <w:marBottom w:val="0"/>
          <w:divBdr>
            <w:top w:val="none" w:sz="0" w:space="0" w:color="auto"/>
            <w:left w:val="none" w:sz="0" w:space="0" w:color="auto"/>
            <w:bottom w:val="none" w:sz="0" w:space="0" w:color="auto"/>
            <w:right w:val="none" w:sz="0" w:space="0" w:color="auto"/>
          </w:divBdr>
        </w:div>
        <w:div w:id="942230868">
          <w:marLeft w:val="0"/>
          <w:marRight w:val="0"/>
          <w:marTop w:val="0"/>
          <w:marBottom w:val="0"/>
          <w:divBdr>
            <w:top w:val="none" w:sz="0" w:space="0" w:color="auto"/>
            <w:left w:val="none" w:sz="0" w:space="0" w:color="auto"/>
            <w:bottom w:val="none" w:sz="0" w:space="0" w:color="auto"/>
            <w:right w:val="none" w:sz="0" w:space="0" w:color="auto"/>
          </w:divBdr>
        </w:div>
        <w:div w:id="1040277704">
          <w:marLeft w:val="0"/>
          <w:marRight w:val="0"/>
          <w:marTop w:val="0"/>
          <w:marBottom w:val="0"/>
          <w:divBdr>
            <w:top w:val="none" w:sz="0" w:space="0" w:color="auto"/>
            <w:left w:val="none" w:sz="0" w:space="0" w:color="auto"/>
            <w:bottom w:val="none" w:sz="0" w:space="0" w:color="auto"/>
            <w:right w:val="none" w:sz="0" w:space="0" w:color="auto"/>
          </w:divBdr>
        </w:div>
        <w:div w:id="63335777">
          <w:marLeft w:val="0"/>
          <w:marRight w:val="0"/>
          <w:marTop w:val="0"/>
          <w:marBottom w:val="0"/>
          <w:divBdr>
            <w:top w:val="none" w:sz="0" w:space="0" w:color="auto"/>
            <w:left w:val="none" w:sz="0" w:space="0" w:color="auto"/>
            <w:bottom w:val="none" w:sz="0" w:space="0" w:color="auto"/>
            <w:right w:val="none" w:sz="0" w:space="0" w:color="auto"/>
          </w:divBdr>
        </w:div>
        <w:div w:id="1125587025">
          <w:marLeft w:val="0"/>
          <w:marRight w:val="0"/>
          <w:marTop w:val="0"/>
          <w:marBottom w:val="0"/>
          <w:divBdr>
            <w:top w:val="none" w:sz="0" w:space="0" w:color="auto"/>
            <w:left w:val="none" w:sz="0" w:space="0" w:color="auto"/>
            <w:bottom w:val="none" w:sz="0" w:space="0" w:color="auto"/>
            <w:right w:val="none" w:sz="0" w:space="0" w:color="auto"/>
          </w:divBdr>
        </w:div>
        <w:div w:id="2100053169">
          <w:marLeft w:val="0"/>
          <w:marRight w:val="0"/>
          <w:marTop w:val="0"/>
          <w:marBottom w:val="0"/>
          <w:divBdr>
            <w:top w:val="none" w:sz="0" w:space="0" w:color="auto"/>
            <w:left w:val="none" w:sz="0" w:space="0" w:color="auto"/>
            <w:bottom w:val="none" w:sz="0" w:space="0" w:color="auto"/>
            <w:right w:val="none" w:sz="0" w:space="0" w:color="auto"/>
          </w:divBdr>
        </w:div>
        <w:div w:id="1144086391">
          <w:marLeft w:val="0"/>
          <w:marRight w:val="0"/>
          <w:marTop w:val="0"/>
          <w:marBottom w:val="0"/>
          <w:divBdr>
            <w:top w:val="none" w:sz="0" w:space="0" w:color="auto"/>
            <w:left w:val="none" w:sz="0" w:space="0" w:color="auto"/>
            <w:bottom w:val="none" w:sz="0" w:space="0" w:color="auto"/>
            <w:right w:val="none" w:sz="0" w:space="0" w:color="auto"/>
          </w:divBdr>
        </w:div>
        <w:div w:id="2006928887">
          <w:marLeft w:val="0"/>
          <w:marRight w:val="0"/>
          <w:marTop w:val="0"/>
          <w:marBottom w:val="0"/>
          <w:divBdr>
            <w:top w:val="none" w:sz="0" w:space="0" w:color="auto"/>
            <w:left w:val="none" w:sz="0" w:space="0" w:color="auto"/>
            <w:bottom w:val="none" w:sz="0" w:space="0" w:color="auto"/>
            <w:right w:val="none" w:sz="0" w:space="0" w:color="auto"/>
          </w:divBdr>
        </w:div>
        <w:div w:id="338197718">
          <w:marLeft w:val="0"/>
          <w:marRight w:val="0"/>
          <w:marTop w:val="0"/>
          <w:marBottom w:val="0"/>
          <w:divBdr>
            <w:top w:val="none" w:sz="0" w:space="0" w:color="auto"/>
            <w:left w:val="none" w:sz="0" w:space="0" w:color="auto"/>
            <w:bottom w:val="none" w:sz="0" w:space="0" w:color="auto"/>
            <w:right w:val="none" w:sz="0" w:space="0" w:color="auto"/>
          </w:divBdr>
        </w:div>
        <w:div w:id="1551528851">
          <w:marLeft w:val="0"/>
          <w:marRight w:val="0"/>
          <w:marTop w:val="0"/>
          <w:marBottom w:val="0"/>
          <w:divBdr>
            <w:top w:val="none" w:sz="0" w:space="0" w:color="auto"/>
            <w:left w:val="none" w:sz="0" w:space="0" w:color="auto"/>
            <w:bottom w:val="none" w:sz="0" w:space="0" w:color="auto"/>
            <w:right w:val="none" w:sz="0" w:space="0" w:color="auto"/>
          </w:divBdr>
        </w:div>
        <w:div w:id="115343704">
          <w:marLeft w:val="0"/>
          <w:marRight w:val="0"/>
          <w:marTop w:val="0"/>
          <w:marBottom w:val="0"/>
          <w:divBdr>
            <w:top w:val="none" w:sz="0" w:space="0" w:color="auto"/>
            <w:left w:val="none" w:sz="0" w:space="0" w:color="auto"/>
            <w:bottom w:val="none" w:sz="0" w:space="0" w:color="auto"/>
            <w:right w:val="none" w:sz="0" w:space="0" w:color="auto"/>
          </w:divBdr>
        </w:div>
        <w:div w:id="375542972">
          <w:marLeft w:val="0"/>
          <w:marRight w:val="0"/>
          <w:marTop w:val="0"/>
          <w:marBottom w:val="0"/>
          <w:divBdr>
            <w:top w:val="none" w:sz="0" w:space="0" w:color="auto"/>
            <w:left w:val="none" w:sz="0" w:space="0" w:color="auto"/>
            <w:bottom w:val="none" w:sz="0" w:space="0" w:color="auto"/>
            <w:right w:val="none" w:sz="0" w:space="0" w:color="auto"/>
          </w:divBdr>
        </w:div>
        <w:div w:id="1626497724">
          <w:marLeft w:val="0"/>
          <w:marRight w:val="0"/>
          <w:marTop w:val="0"/>
          <w:marBottom w:val="0"/>
          <w:divBdr>
            <w:top w:val="none" w:sz="0" w:space="0" w:color="auto"/>
            <w:left w:val="none" w:sz="0" w:space="0" w:color="auto"/>
            <w:bottom w:val="none" w:sz="0" w:space="0" w:color="auto"/>
            <w:right w:val="none" w:sz="0" w:space="0" w:color="auto"/>
          </w:divBdr>
        </w:div>
        <w:div w:id="2059668414">
          <w:marLeft w:val="0"/>
          <w:marRight w:val="0"/>
          <w:marTop w:val="0"/>
          <w:marBottom w:val="0"/>
          <w:divBdr>
            <w:top w:val="none" w:sz="0" w:space="0" w:color="auto"/>
            <w:left w:val="none" w:sz="0" w:space="0" w:color="auto"/>
            <w:bottom w:val="none" w:sz="0" w:space="0" w:color="auto"/>
            <w:right w:val="none" w:sz="0" w:space="0" w:color="auto"/>
          </w:divBdr>
        </w:div>
        <w:div w:id="290987262">
          <w:marLeft w:val="0"/>
          <w:marRight w:val="0"/>
          <w:marTop w:val="0"/>
          <w:marBottom w:val="0"/>
          <w:divBdr>
            <w:top w:val="none" w:sz="0" w:space="0" w:color="auto"/>
            <w:left w:val="none" w:sz="0" w:space="0" w:color="auto"/>
            <w:bottom w:val="none" w:sz="0" w:space="0" w:color="auto"/>
            <w:right w:val="none" w:sz="0" w:space="0" w:color="auto"/>
          </w:divBdr>
        </w:div>
        <w:div w:id="1185292463">
          <w:marLeft w:val="0"/>
          <w:marRight w:val="0"/>
          <w:marTop w:val="0"/>
          <w:marBottom w:val="0"/>
          <w:divBdr>
            <w:top w:val="none" w:sz="0" w:space="0" w:color="auto"/>
            <w:left w:val="none" w:sz="0" w:space="0" w:color="auto"/>
            <w:bottom w:val="none" w:sz="0" w:space="0" w:color="auto"/>
            <w:right w:val="none" w:sz="0" w:space="0" w:color="auto"/>
          </w:divBdr>
        </w:div>
        <w:div w:id="2051570120">
          <w:marLeft w:val="0"/>
          <w:marRight w:val="0"/>
          <w:marTop w:val="0"/>
          <w:marBottom w:val="0"/>
          <w:divBdr>
            <w:top w:val="none" w:sz="0" w:space="0" w:color="auto"/>
            <w:left w:val="none" w:sz="0" w:space="0" w:color="auto"/>
            <w:bottom w:val="none" w:sz="0" w:space="0" w:color="auto"/>
            <w:right w:val="none" w:sz="0" w:space="0" w:color="auto"/>
          </w:divBdr>
        </w:div>
        <w:div w:id="710037650">
          <w:marLeft w:val="0"/>
          <w:marRight w:val="0"/>
          <w:marTop w:val="0"/>
          <w:marBottom w:val="0"/>
          <w:divBdr>
            <w:top w:val="none" w:sz="0" w:space="0" w:color="auto"/>
            <w:left w:val="none" w:sz="0" w:space="0" w:color="auto"/>
            <w:bottom w:val="none" w:sz="0" w:space="0" w:color="auto"/>
            <w:right w:val="none" w:sz="0" w:space="0" w:color="auto"/>
          </w:divBdr>
        </w:div>
        <w:div w:id="554195167">
          <w:marLeft w:val="0"/>
          <w:marRight w:val="0"/>
          <w:marTop w:val="0"/>
          <w:marBottom w:val="0"/>
          <w:divBdr>
            <w:top w:val="none" w:sz="0" w:space="0" w:color="auto"/>
            <w:left w:val="none" w:sz="0" w:space="0" w:color="auto"/>
            <w:bottom w:val="none" w:sz="0" w:space="0" w:color="auto"/>
            <w:right w:val="none" w:sz="0" w:space="0" w:color="auto"/>
          </w:divBdr>
        </w:div>
        <w:div w:id="283241">
          <w:marLeft w:val="0"/>
          <w:marRight w:val="0"/>
          <w:marTop w:val="0"/>
          <w:marBottom w:val="0"/>
          <w:divBdr>
            <w:top w:val="none" w:sz="0" w:space="0" w:color="auto"/>
            <w:left w:val="none" w:sz="0" w:space="0" w:color="auto"/>
            <w:bottom w:val="none" w:sz="0" w:space="0" w:color="auto"/>
            <w:right w:val="none" w:sz="0" w:space="0" w:color="auto"/>
          </w:divBdr>
        </w:div>
      </w:divsChild>
    </w:div>
    <w:div w:id="660622025">
      <w:bodyDiv w:val="1"/>
      <w:marLeft w:val="0"/>
      <w:marRight w:val="0"/>
      <w:marTop w:val="0"/>
      <w:marBottom w:val="0"/>
      <w:divBdr>
        <w:top w:val="none" w:sz="0" w:space="0" w:color="auto"/>
        <w:left w:val="none" w:sz="0" w:space="0" w:color="auto"/>
        <w:bottom w:val="none" w:sz="0" w:space="0" w:color="auto"/>
        <w:right w:val="none" w:sz="0" w:space="0" w:color="auto"/>
      </w:divBdr>
    </w:div>
    <w:div w:id="665593578">
      <w:bodyDiv w:val="1"/>
      <w:marLeft w:val="0"/>
      <w:marRight w:val="0"/>
      <w:marTop w:val="0"/>
      <w:marBottom w:val="0"/>
      <w:divBdr>
        <w:top w:val="none" w:sz="0" w:space="0" w:color="auto"/>
        <w:left w:val="none" w:sz="0" w:space="0" w:color="auto"/>
        <w:bottom w:val="none" w:sz="0" w:space="0" w:color="auto"/>
        <w:right w:val="none" w:sz="0" w:space="0" w:color="auto"/>
      </w:divBdr>
    </w:div>
    <w:div w:id="719935435">
      <w:bodyDiv w:val="1"/>
      <w:marLeft w:val="0"/>
      <w:marRight w:val="0"/>
      <w:marTop w:val="0"/>
      <w:marBottom w:val="0"/>
      <w:divBdr>
        <w:top w:val="none" w:sz="0" w:space="0" w:color="auto"/>
        <w:left w:val="none" w:sz="0" w:space="0" w:color="auto"/>
        <w:bottom w:val="none" w:sz="0" w:space="0" w:color="auto"/>
        <w:right w:val="none" w:sz="0" w:space="0" w:color="auto"/>
      </w:divBdr>
    </w:div>
    <w:div w:id="731780350">
      <w:bodyDiv w:val="1"/>
      <w:marLeft w:val="0"/>
      <w:marRight w:val="0"/>
      <w:marTop w:val="0"/>
      <w:marBottom w:val="0"/>
      <w:divBdr>
        <w:top w:val="none" w:sz="0" w:space="0" w:color="auto"/>
        <w:left w:val="none" w:sz="0" w:space="0" w:color="auto"/>
        <w:bottom w:val="none" w:sz="0" w:space="0" w:color="auto"/>
        <w:right w:val="none" w:sz="0" w:space="0" w:color="auto"/>
      </w:divBdr>
      <w:divsChild>
        <w:div w:id="1907956823">
          <w:marLeft w:val="806"/>
          <w:marRight w:val="0"/>
          <w:marTop w:val="0"/>
          <w:marBottom w:val="120"/>
          <w:divBdr>
            <w:top w:val="none" w:sz="0" w:space="0" w:color="auto"/>
            <w:left w:val="none" w:sz="0" w:space="0" w:color="auto"/>
            <w:bottom w:val="none" w:sz="0" w:space="0" w:color="auto"/>
            <w:right w:val="none" w:sz="0" w:space="0" w:color="auto"/>
          </w:divBdr>
        </w:div>
        <w:div w:id="1812168116">
          <w:marLeft w:val="806"/>
          <w:marRight w:val="0"/>
          <w:marTop w:val="0"/>
          <w:marBottom w:val="120"/>
          <w:divBdr>
            <w:top w:val="none" w:sz="0" w:space="0" w:color="auto"/>
            <w:left w:val="none" w:sz="0" w:space="0" w:color="auto"/>
            <w:bottom w:val="none" w:sz="0" w:space="0" w:color="auto"/>
            <w:right w:val="none" w:sz="0" w:space="0" w:color="auto"/>
          </w:divBdr>
        </w:div>
        <w:div w:id="1160195005">
          <w:marLeft w:val="1440"/>
          <w:marRight w:val="0"/>
          <w:marTop w:val="0"/>
          <w:marBottom w:val="120"/>
          <w:divBdr>
            <w:top w:val="none" w:sz="0" w:space="0" w:color="auto"/>
            <w:left w:val="none" w:sz="0" w:space="0" w:color="auto"/>
            <w:bottom w:val="none" w:sz="0" w:space="0" w:color="auto"/>
            <w:right w:val="none" w:sz="0" w:space="0" w:color="auto"/>
          </w:divBdr>
        </w:div>
        <w:div w:id="1790464847">
          <w:marLeft w:val="806"/>
          <w:marRight w:val="0"/>
          <w:marTop w:val="0"/>
          <w:marBottom w:val="120"/>
          <w:divBdr>
            <w:top w:val="none" w:sz="0" w:space="0" w:color="auto"/>
            <w:left w:val="none" w:sz="0" w:space="0" w:color="auto"/>
            <w:bottom w:val="none" w:sz="0" w:space="0" w:color="auto"/>
            <w:right w:val="none" w:sz="0" w:space="0" w:color="auto"/>
          </w:divBdr>
        </w:div>
        <w:div w:id="2076317946">
          <w:marLeft w:val="806"/>
          <w:marRight w:val="0"/>
          <w:marTop w:val="0"/>
          <w:marBottom w:val="120"/>
          <w:divBdr>
            <w:top w:val="none" w:sz="0" w:space="0" w:color="auto"/>
            <w:left w:val="none" w:sz="0" w:space="0" w:color="auto"/>
            <w:bottom w:val="none" w:sz="0" w:space="0" w:color="auto"/>
            <w:right w:val="none" w:sz="0" w:space="0" w:color="auto"/>
          </w:divBdr>
        </w:div>
        <w:div w:id="1870754622">
          <w:marLeft w:val="806"/>
          <w:marRight w:val="0"/>
          <w:marTop w:val="0"/>
          <w:marBottom w:val="120"/>
          <w:divBdr>
            <w:top w:val="none" w:sz="0" w:space="0" w:color="auto"/>
            <w:left w:val="none" w:sz="0" w:space="0" w:color="auto"/>
            <w:bottom w:val="none" w:sz="0" w:space="0" w:color="auto"/>
            <w:right w:val="none" w:sz="0" w:space="0" w:color="auto"/>
          </w:divBdr>
        </w:div>
      </w:divsChild>
    </w:div>
    <w:div w:id="769004796">
      <w:bodyDiv w:val="1"/>
      <w:marLeft w:val="0"/>
      <w:marRight w:val="0"/>
      <w:marTop w:val="0"/>
      <w:marBottom w:val="0"/>
      <w:divBdr>
        <w:top w:val="none" w:sz="0" w:space="0" w:color="auto"/>
        <w:left w:val="none" w:sz="0" w:space="0" w:color="auto"/>
        <w:bottom w:val="none" w:sz="0" w:space="0" w:color="auto"/>
        <w:right w:val="none" w:sz="0" w:space="0" w:color="auto"/>
      </w:divBdr>
    </w:div>
    <w:div w:id="787696734">
      <w:bodyDiv w:val="1"/>
      <w:marLeft w:val="0"/>
      <w:marRight w:val="0"/>
      <w:marTop w:val="0"/>
      <w:marBottom w:val="0"/>
      <w:divBdr>
        <w:top w:val="none" w:sz="0" w:space="0" w:color="auto"/>
        <w:left w:val="none" w:sz="0" w:space="0" w:color="auto"/>
        <w:bottom w:val="none" w:sz="0" w:space="0" w:color="auto"/>
        <w:right w:val="none" w:sz="0" w:space="0" w:color="auto"/>
      </w:divBdr>
      <w:divsChild>
        <w:div w:id="470253061">
          <w:marLeft w:val="432"/>
          <w:marRight w:val="0"/>
          <w:marTop w:val="120"/>
          <w:marBottom w:val="120"/>
          <w:divBdr>
            <w:top w:val="none" w:sz="0" w:space="0" w:color="auto"/>
            <w:left w:val="none" w:sz="0" w:space="0" w:color="auto"/>
            <w:bottom w:val="none" w:sz="0" w:space="0" w:color="auto"/>
            <w:right w:val="none" w:sz="0" w:space="0" w:color="auto"/>
          </w:divBdr>
        </w:div>
      </w:divsChild>
    </w:div>
    <w:div w:id="1143931036">
      <w:bodyDiv w:val="1"/>
      <w:marLeft w:val="0"/>
      <w:marRight w:val="0"/>
      <w:marTop w:val="0"/>
      <w:marBottom w:val="0"/>
      <w:divBdr>
        <w:top w:val="none" w:sz="0" w:space="0" w:color="auto"/>
        <w:left w:val="none" w:sz="0" w:space="0" w:color="auto"/>
        <w:bottom w:val="none" w:sz="0" w:space="0" w:color="auto"/>
        <w:right w:val="none" w:sz="0" w:space="0" w:color="auto"/>
      </w:divBdr>
      <w:divsChild>
        <w:div w:id="33963085">
          <w:marLeft w:val="0"/>
          <w:marRight w:val="0"/>
          <w:marTop w:val="0"/>
          <w:marBottom w:val="0"/>
          <w:divBdr>
            <w:top w:val="none" w:sz="0" w:space="0" w:color="auto"/>
            <w:left w:val="none" w:sz="0" w:space="0" w:color="auto"/>
            <w:bottom w:val="none" w:sz="0" w:space="0" w:color="auto"/>
            <w:right w:val="none" w:sz="0" w:space="0" w:color="auto"/>
          </w:divBdr>
          <w:divsChild>
            <w:div w:id="1105925799">
              <w:marLeft w:val="0"/>
              <w:marRight w:val="0"/>
              <w:marTop w:val="0"/>
              <w:marBottom w:val="0"/>
              <w:divBdr>
                <w:top w:val="none" w:sz="0" w:space="0" w:color="auto"/>
                <w:left w:val="none" w:sz="0" w:space="0" w:color="auto"/>
                <w:bottom w:val="none" w:sz="0" w:space="0" w:color="auto"/>
                <w:right w:val="none" w:sz="0" w:space="0" w:color="auto"/>
              </w:divBdr>
              <w:divsChild>
                <w:div w:id="12427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5826">
          <w:marLeft w:val="0"/>
          <w:marRight w:val="0"/>
          <w:marTop w:val="0"/>
          <w:marBottom w:val="0"/>
          <w:divBdr>
            <w:top w:val="none" w:sz="0" w:space="0" w:color="auto"/>
            <w:left w:val="none" w:sz="0" w:space="0" w:color="auto"/>
            <w:bottom w:val="none" w:sz="0" w:space="0" w:color="auto"/>
            <w:right w:val="none" w:sz="0" w:space="0" w:color="auto"/>
          </w:divBdr>
          <w:divsChild>
            <w:div w:id="422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636">
      <w:bodyDiv w:val="1"/>
      <w:marLeft w:val="0"/>
      <w:marRight w:val="0"/>
      <w:marTop w:val="0"/>
      <w:marBottom w:val="0"/>
      <w:divBdr>
        <w:top w:val="none" w:sz="0" w:space="0" w:color="auto"/>
        <w:left w:val="none" w:sz="0" w:space="0" w:color="auto"/>
        <w:bottom w:val="none" w:sz="0" w:space="0" w:color="auto"/>
        <w:right w:val="none" w:sz="0" w:space="0" w:color="auto"/>
      </w:divBdr>
    </w:div>
    <w:div w:id="1200051546">
      <w:bodyDiv w:val="1"/>
      <w:marLeft w:val="0"/>
      <w:marRight w:val="0"/>
      <w:marTop w:val="0"/>
      <w:marBottom w:val="0"/>
      <w:divBdr>
        <w:top w:val="none" w:sz="0" w:space="0" w:color="auto"/>
        <w:left w:val="none" w:sz="0" w:space="0" w:color="auto"/>
        <w:bottom w:val="none" w:sz="0" w:space="0" w:color="auto"/>
        <w:right w:val="none" w:sz="0" w:space="0" w:color="auto"/>
      </w:divBdr>
    </w:div>
    <w:div w:id="1318876759">
      <w:bodyDiv w:val="1"/>
      <w:marLeft w:val="0"/>
      <w:marRight w:val="0"/>
      <w:marTop w:val="0"/>
      <w:marBottom w:val="0"/>
      <w:divBdr>
        <w:top w:val="none" w:sz="0" w:space="0" w:color="auto"/>
        <w:left w:val="none" w:sz="0" w:space="0" w:color="auto"/>
        <w:bottom w:val="none" w:sz="0" w:space="0" w:color="auto"/>
        <w:right w:val="none" w:sz="0" w:space="0" w:color="auto"/>
      </w:divBdr>
      <w:divsChild>
        <w:div w:id="480077683">
          <w:marLeft w:val="806"/>
          <w:marRight w:val="0"/>
          <w:marTop w:val="0"/>
          <w:marBottom w:val="120"/>
          <w:divBdr>
            <w:top w:val="none" w:sz="0" w:space="0" w:color="auto"/>
            <w:left w:val="none" w:sz="0" w:space="0" w:color="auto"/>
            <w:bottom w:val="none" w:sz="0" w:space="0" w:color="auto"/>
            <w:right w:val="none" w:sz="0" w:space="0" w:color="auto"/>
          </w:divBdr>
        </w:div>
        <w:div w:id="1664893979">
          <w:marLeft w:val="806"/>
          <w:marRight w:val="0"/>
          <w:marTop w:val="0"/>
          <w:marBottom w:val="120"/>
          <w:divBdr>
            <w:top w:val="none" w:sz="0" w:space="0" w:color="auto"/>
            <w:left w:val="none" w:sz="0" w:space="0" w:color="auto"/>
            <w:bottom w:val="none" w:sz="0" w:space="0" w:color="auto"/>
            <w:right w:val="none" w:sz="0" w:space="0" w:color="auto"/>
          </w:divBdr>
        </w:div>
        <w:div w:id="1834030961">
          <w:marLeft w:val="806"/>
          <w:marRight w:val="0"/>
          <w:marTop w:val="0"/>
          <w:marBottom w:val="120"/>
          <w:divBdr>
            <w:top w:val="none" w:sz="0" w:space="0" w:color="auto"/>
            <w:left w:val="none" w:sz="0" w:space="0" w:color="auto"/>
            <w:bottom w:val="none" w:sz="0" w:space="0" w:color="auto"/>
            <w:right w:val="none" w:sz="0" w:space="0" w:color="auto"/>
          </w:divBdr>
        </w:div>
        <w:div w:id="693384979">
          <w:marLeft w:val="806"/>
          <w:marRight w:val="0"/>
          <w:marTop w:val="0"/>
          <w:marBottom w:val="120"/>
          <w:divBdr>
            <w:top w:val="none" w:sz="0" w:space="0" w:color="auto"/>
            <w:left w:val="none" w:sz="0" w:space="0" w:color="auto"/>
            <w:bottom w:val="none" w:sz="0" w:space="0" w:color="auto"/>
            <w:right w:val="none" w:sz="0" w:space="0" w:color="auto"/>
          </w:divBdr>
        </w:div>
        <w:div w:id="1089733877">
          <w:marLeft w:val="806"/>
          <w:marRight w:val="0"/>
          <w:marTop w:val="0"/>
          <w:marBottom w:val="120"/>
          <w:divBdr>
            <w:top w:val="none" w:sz="0" w:space="0" w:color="auto"/>
            <w:left w:val="none" w:sz="0" w:space="0" w:color="auto"/>
            <w:bottom w:val="none" w:sz="0" w:space="0" w:color="auto"/>
            <w:right w:val="none" w:sz="0" w:space="0" w:color="auto"/>
          </w:divBdr>
        </w:div>
        <w:div w:id="2136482634">
          <w:marLeft w:val="806"/>
          <w:marRight w:val="0"/>
          <w:marTop w:val="0"/>
          <w:marBottom w:val="120"/>
          <w:divBdr>
            <w:top w:val="none" w:sz="0" w:space="0" w:color="auto"/>
            <w:left w:val="none" w:sz="0" w:space="0" w:color="auto"/>
            <w:bottom w:val="none" w:sz="0" w:space="0" w:color="auto"/>
            <w:right w:val="none" w:sz="0" w:space="0" w:color="auto"/>
          </w:divBdr>
        </w:div>
        <w:div w:id="734401799">
          <w:marLeft w:val="806"/>
          <w:marRight w:val="0"/>
          <w:marTop w:val="0"/>
          <w:marBottom w:val="120"/>
          <w:divBdr>
            <w:top w:val="none" w:sz="0" w:space="0" w:color="auto"/>
            <w:left w:val="none" w:sz="0" w:space="0" w:color="auto"/>
            <w:bottom w:val="none" w:sz="0" w:space="0" w:color="auto"/>
            <w:right w:val="none" w:sz="0" w:space="0" w:color="auto"/>
          </w:divBdr>
        </w:div>
      </w:divsChild>
    </w:div>
    <w:div w:id="1412317198">
      <w:bodyDiv w:val="1"/>
      <w:marLeft w:val="0"/>
      <w:marRight w:val="0"/>
      <w:marTop w:val="0"/>
      <w:marBottom w:val="0"/>
      <w:divBdr>
        <w:top w:val="none" w:sz="0" w:space="0" w:color="auto"/>
        <w:left w:val="none" w:sz="0" w:space="0" w:color="auto"/>
        <w:bottom w:val="none" w:sz="0" w:space="0" w:color="auto"/>
        <w:right w:val="none" w:sz="0" w:space="0" w:color="auto"/>
      </w:divBdr>
    </w:div>
    <w:div w:id="1412432863">
      <w:bodyDiv w:val="1"/>
      <w:marLeft w:val="0"/>
      <w:marRight w:val="0"/>
      <w:marTop w:val="0"/>
      <w:marBottom w:val="0"/>
      <w:divBdr>
        <w:top w:val="none" w:sz="0" w:space="0" w:color="auto"/>
        <w:left w:val="none" w:sz="0" w:space="0" w:color="auto"/>
        <w:bottom w:val="none" w:sz="0" w:space="0" w:color="auto"/>
        <w:right w:val="none" w:sz="0" w:space="0" w:color="auto"/>
      </w:divBdr>
      <w:divsChild>
        <w:div w:id="562328259">
          <w:marLeft w:val="547"/>
          <w:marRight w:val="0"/>
          <w:marTop w:val="106"/>
          <w:marBottom w:val="0"/>
          <w:divBdr>
            <w:top w:val="none" w:sz="0" w:space="0" w:color="auto"/>
            <w:left w:val="none" w:sz="0" w:space="0" w:color="auto"/>
            <w:bottom w:val="none" w:sz="0" w:space="0" w:color="auto"/>
            <w:right w:val="none" w:sz="0" w:space="0" w:color="auto"/>
          </w:divBdr>
        </w:div>
        <w:div w:id="1638073039">
          <w:marLeft w:val="1166"/>
          <w:marRight w:val="0"/>
          <w:marTop w:val="96"/>
          <w:marBottom w:val="0"/>
          <w:divBdr>
            <w:top w:val="none" w:sz="0" w:space="0" w:color="auto"/>
            <w:left w:val="none" w:sz="0" w:space="0" w:color="auto"/>
            <w:bottom w:val="none" w:sz="0" w:space="0" w:color="auto"/>
            <w:right w:val="none" w:sz="0" w:space="0" w:color="auto"/>
          </w:divBdr>
        </w:div>
        <w:div w:id="776995148">
          <w:marLeft w:val="547"/>
          <w:marRight w:val="0"/>
          <w:marTop w:val="106"/>
          <w:marBottom w:val="0"/>
          <w:divBdr>
            <w:top w:val="none" w:sz="0" w:space="0" w:color="auto"/>
            <w:left w:val="none" w:sz="0" w:space="0" w:color="auto"/>
            <w:bottom w:val="none" w:sz="0" w:space="0" w:color="auto"/>
            <w:right w:val="none" w:sz="0" w:space="0" w:color="auto"/>
          </w:divBdr>
        </w:div>
        <w:div w:id="125972626">
          <w:marLeft w:val="1166"/>
          <w:marRight w:val="0"/>
          <w:marTop w:val="96"/>
          <w:marBottom w:val="0"/>
          <w:divBdr>
            <w:top w:val="none" w:sz="0" w:space="0" w:color="auto"/>
            <w:left w:val="none" w:sz="0" w:space="0" w:color="auto"/>
            <w:bottom w:val="none" w:sz="0" w:space="0" w:color="auto"/>
            <w:right w:val="none" w:sz="0" w:space="0" w:color="auto"/>
          </w:divBdr>
        </w:div>
        <w:div w:id="1995916673">
          <w:marLeft w:val="1166"/>
          <w:marRight w:val="0"/>
          <w:marTop w:val="96"/>
          <w:marBottom w:val="0"/>
          <w:divBdr>
            <w:top w:val="none" w:sz="0" w:space="0" w:color="auto"/>
            <w:left w:val="none" w:sz="0" w:space="0" w:color="auto"/>
            <w:bottom w:val="none" w:sz="0" w:space="0" w:color="auto"/>
            <w:right w:val="none" w:sz="0" w:space="0" w:color="auto"/>
          </w:divBdr>
        </w:div>
        <w:div w:id="1551454406">
          <w:marLeft w:val="1166"/>
          <w:marRight w:val="0"/>
          <w:marTop w:val="96"/>
          <w:marBottom w:val="0"/>
          <w:divBdr>
            <w:top w:val="none" w:sz="0" w:space="0" w:color="auto"/>
            <w:left w:val="none" w:sz="0" w:space="0" w:color="auto"/>
            <w:bottom w:val="none" w:sz="0" w:space="0" w:color="auto"/>
            <w:right w:val="none" w:sz="0" w:space="0" w:color="auto"/>
          </w:divBdr>
        </w:div>
        <w:div w:id="1343509801">
          <w:marLeft w:val="1166"/>
          <w:marRight w:val="0"/>
          <w:marTop w:val="96"/>
          <w:marBottom w:val="0"/>
          <w:divBdr>
            <w:top w:val="none" w:sz="0" w:space="0" w:color="auto"/>
            <w:left w:val="none" w:sz="0" w:space="0" w:color="auto"/>
            <w:bottom w:val="none" w:sz="0" w:space="0" w:color="auto"/>
            <w:right w:val="none" w:sz="0" w:space="0" w:color="auto"/>
          </w:divBdr>
        </w:div>
        <w:div w:id="797532734">
          <w:marLeft w:val="547"/>
          <w:marRight w:val="0"/>
          <w:marTop w:val="106"/>
          <w:marBottom w:val="0"/>
          <w:divBdr>
            <w:top w:val="none" w:sz="0" w:space="0" w:color="auto"/>
            <w:left w:val="none" w:sz="0" w:space="0" w:color="auto"/>
            <w:bottom w:val="none" w:sz="0" w:space="0" w:color="auto"/>
            <w:right w:val="none" w:sz="0" w:space="0" w:color="auto"/>
          </w:divBdr>
        </w:div>
        <w:div w:id="327563331">
          <w:marLeft w:val="547"/>
          <w:marRight w:val="0"/>
          <w:marTop w:val="106"/>
          <w:marBottom w:val="0"/>
          <w:divBdr>
            <w:top w:val="none" w:sz="0" w:space="0" w:color="auto"/>
            <w:left w:val="none" w:sz="0" w:space="0" w:color="auto"/>
            <w:bottom w:val="none" w:sz="0" w:space="0" w:color="auto"/>
            <w:right w:val="none" w:sz="0" w:space="0" w:color="auto"/>
          </w:divBdr>
        </w:div>
        <w:div w:id="261959966">
          <w:marLeft w:val="547"/>
          <w:marRight w:val="0"/>
          <w:marTop w:val="106"/>
          <w:marBottom w:val="0"/>
          <w:divBdr>
            <w:top w:val="none" w:sz="0" w:space="0" w:color="auto"/>
            <w:left w:val="none" w:sz="0" w:space="0" w:color="auto"/>
            <w:bottom w:val="none" w:sz="0" w:space="0" w:color="auto"/>
            <w:right w:val="none" w:sz="0" w:space="0" w:color="auto"/>
          </w:divBdr>
        </w:div>
      </w:divsChild>
    </w:div>
    <w:div w:id="1479614265">
      <w:bodyDiv w:val="1"/>
      <w:marLeft w:val="0"/>
      <w:marRight w:val="0"/>
      <w:marTop w:val="0"/>
      <w:marBottom w:val="0"/>
      <w:divBdr>
        <w:top w:val="none" w:sz="0" w:space="0" w:color="auto"/>
        <w:left w:val="none" w:sz="0" w:space="0" w:color="auto"/>
        <w:bottom w:val="none" w:sz="0" w:space="0" w:color="auto"/>
        <w:right w:val="none" w:sz="0" w:space="0" w:color="auto"/>
      </w:divBdr>
    </w:div>
    <w:div w:id="1539708273">
      <w:bodyDiv w:val="1"/>
      <w:marLeft w:val="0"/>
      <w:marRight w:val="0"/>
      <w:marTop w:val="0"/>
      <w:marBottom w:val="0"/>
      <w:divBdr>
        <w:top w:val="none" w:sz="0" w:space="0" w:color="auto"/>
        <w:left w:val="none" w:sz="0" w:space="0" w:color="auto"/>
        <w:bottom w:val="none" w:sz="0" w:space="0" w:color="auto"/>
        <w:right w:val="none" w:sz="0" w:space="0" w:color="auto"/>
      </w:divBdr>
      <w:divsChild>
        <w:div w:id="200751671">
          <w:marLeft w:val="1354"/>
          <w:marRight w:val="0"/>
          <w:marTop w:val="0"/>
          <w:marBottom w:val="120"/>
          <w:divBdr>
            <w:top w:val="none" w:sz="0" w:space="0" w:color="auto"/>
            <w:left w:val="none" w:sz="0" w:space="0" w:color="auto"/>
            <w:bottom w:val="none" w:sz="0" w:space="0" w:color="auto"/>
            <w:right w:val="none" w:sz="0" w:space="0" w:color="auto"/>
          </w:divBdr>
        </w:div>
      </w:divsChild>
    </w:div>
    <w:div w:id="1565752599">
      <w:bodyDiv w:val="1"/>
      <w:marLeft w:val="0"/>
      <w:marRight w:val="0"/>
      <w:marTop w:val="0"/>
      <w:marBottom w:val="0"/>
      <w:divBdr>
        <w:top w:val="none" w:sz="0" w:space="0" w:color="auto"/>
        <w:left w:val="none" w:sz="0" w:space="0" w:color="auto"/>
        <w:bottom w:val="none" w:sz="0" w:space="0" w:color="auto"/>
        <w:right w:val="none" w:sz="0" w:space="0" w:color="auto"/>
      </w:divBdr>
    </w:div>
    <w:div w:id="1568420235">
      <w:bodyDiv w:val="1"/>
      <w:marLeft w:val="0"/>
      <w:marRight w:val="0"/>
      <w:marTop w:val="0"/>
      <w:marBottom w:val="0"/>
      <w:divBdr>
        <w:top w:val="none" w:sz="0" w:space="0" w:color="auto"/>
        <w:left w:val="none" w:sz="0" w:space="0" w:color="auto"/>
        <w:bottom w:val="none" w:sz="0" w:space="0" w:color="auto"/>
        <w:right w:val="none" w:sz="0" w:space="0" w:color="auto"/>
      </w:divBdr>
      <w:divsChild>
        <w:div w:id="1970548478">
          <w:marLeft w:val="1166"/>
          <w:marRight w:val="0"/>
          <w:marTop w:val="115"/>
          <w:marBottom w:val="0"/>
          <w:divBdr>
            <w:top w:val="none" w:sz="0" w:space="0" w:color="auto"/>
            <w:left w:val="none" w:sz="0" w:space="0" w:color="auto"/>
            <w:bottom w:val="none" w:sz="0" w:space="0" w:color="auto"/>
            <w:right w:val="none" w:sz="0" w:space="0" w:color="auto"/>
          </w:divBdr>
        </w:div>
      </w:divsChild>
    </w:div>
    <w:div w:id="1572811526">
      <w:bodyDiv w:val="1"/>
      <w:marLeft w:val="0"/>
      <w:marRight w:val="0"/>
      <w:marTop w:val="0"/>
      <w:marBottom w:val="0"/>
      <w:divBdr>
        <w:top w:val="none" w:sz="0" w:space="0" w:color="auto"/>
        <w:left w:val="none" w:sz="0" w:space="0" w:color="auto"/>
        <w:bottom w:val="none" w:sz="0" w:space="0" w:color="auto"/>
        <w:right w:val="none" w:sz="0" w:space="0" w:color="auto"/>
      </w:divBdr>
    </w:div>
    <w:div w:id="1588807136">
      <w:bodyDiv w:val="1"/>
      <w:marLeft w:val="0"/>
      <w:marRight w:val="0"/>
      <w:marTop w:val="0"/>
      <w:marBottom w:val="0"/>
      <w:divBdr>
        <w:top w:val="none" w:sz="0" w:space="0" w:color="auto"/>
        <w:left w:val="none" w:sz="0" w:space="0" w:color="auto"/>
        <w:bottom w:val="none" w:sz="0" w:space="0" w:color="auto"/>
        <w:right w:val="none" w:sz="0" w:space="0" w:color="auto"/>
      </w:divBdr>
      <w:divsChild>
        <w:div w:id="57150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65294">
              <w:marLeft w:val="0"/>
              <w:marRight w:val="0"/>
              <w:marTop w:val="0"/>
              <w:marBottom w:val="0"/>
              <w:divBdr>
                <w:top w:val="none" w:sz="0" w:space="0" w:color="auto"/>
                <w:left w:val="none" w:sz="0" w:space="0" w:color="auto"/>
                <w:bottom w:val="none" w:sz="0" w:space="0" w:color="auto"/>
                <w:right w:val="none" w:sz="0" w:space="0" w:color="auto"/>
              </w:divBdr>
              <w:divsChild>
                <w:div w:id="352072002">
                  <w:marLeft w:val="0"/>
                  <w:marRight w:val="0"/>
                  <w:marTop w:val="0"/>
                  <w:marBottom w:val="0"/>
                  <w:divBdr>
                    <w:top w:val="none" w:sz="0" w:space="0" w:color="auto"/>
                    <w:left w:val="none" w:sz="0" w:space="0" w:color="auto"/>
                    <w:bottom w:val="none" w:sz="0" w:space="0" w:color="auto"/>
                    <w:right w:val="none" w:sz="0" w:space="0" w:color="auto"/>
                  </w:divBdr>
                  <w:divsChild>
                    <w:div w:id="2033531852">
                      <w:marLeft w:val="0"/>
                      <w:marRight w:val="0"/>
                      <w:marTop w:val="0"/>
                      <w:marBottom w:val="0"/>
                      <w:divBdr>
                        <w:top w:val="none" w:sz="0" w:space="0" w:color="auto"/>
                        <w:left w:val="none" w:sz="0" w:space="0" w:color="auto"/>
                        <w:bottom w:val="none" w:sz="0" w:space="0" w:color="auto"/>
                        <w:right w:val="none" w:sz="0" w:space="0" w:color="auto"/>
                      </w:divBdr>
                      <w:divsChild>
                        <w:div w:id="1532381816">
                          <w:marLeft w:val="0"/>
                          <w:marRight w:val="0"/>
                          <w:marTop w:val="0"/>
                          <w:marBottom w:val="0"/>
                          <w:divBdr>
                            <w:top w:val="none" w:sz="0" w:space="0" w:color="auto"/>
                            <w:left w:val="none" w:sz="0" w:space="0" w:color="auto"/>
                            <w:bottom w:val="none" w:sz="0" w:space="0" w:color="auto"/>
                            <w:right w:val="none" w:sz="0" w:space="0" w:color="auto"/>
                          </w:divBdr>
                          <w:divsChild>
                            <w:div w:id="1268082851">
                              <w:marLeft w:val="0"/>
                              <w:marRight w:val="0"/>
                              <w:marTop w:val="0"/>
                              <w:marBottom w:val="0"/>
                              <w:divBdr>
                                <w:top w:val="none" w:sz="0" w:space="0" w:color="auto"/>
                                <w:left w:val="none" w:sz="0" w:space="0" w:color="auto"/>
                                <w:bottom w:val="none" w:sz="0" w:space="0" w:color="auto"/>
                                <w:right w:val="none" w:sz="0" w:space="0" w:color="auto"/>
                              </w:divBdr>
                              <w:divsChild>
                                <w:div w:id="755831010">
                                  <w:marLeft w:val="0"/>
                                  <w:marRight w:val="0"/>
                                  <w:marTop w:val="0"/>
                                  <w:marBottom w:val="0"/>
                                  <w:divBdr>
                                    <w:top w:val="none" w:sz="0" w:space="0" w:color="auto"/>
                                    <w:left w:val="none" w:sz="0" w:space="0" w:color="auto"/>
                                    <w:bottom w:val="none" w:sz="0" w:space="0" w:color="auto"/>
                                    <w:right w:val="none" w:sz="0" w:space="0" w:color="auto"/>
                                  </w:divBdr>
                                  <w:divsChild>
                                    <w:div w:id="1662347263">
                                      <w:marLeft w:val="720"/>
                                      <w:marRight w:val="0"/>
                                      <w:marTop w:val="0"/>
                                      <w:marBottom w:val="0"/>
                                      <w:divBdr>
                                        <w:top w:val="none" w:sz="0" w:space="0" w:color="auto"/>
                                        <w:left w:val="none" w:sz="0" w:space="0" w:color="auto"/>
                                        <w:bottom w:val="none" w:sz="0" w:space="0" w:color="auto"/>
                                        <w:right w:val="none" w:sz="0" w:space="0" w:color="auto"/>
                                      </w:divBdr>
                                    </w:div>
                                    <w:div w:id="1429764662">
                                      <w:marLeft w:val="720"/>
                                      <w:marRight w:val="0"/>
                                      <w:marTop w:val="0"/>
                                      <w:marBottom w:val="0"/>
                                      <w:divBdr>
                                        <w:top w:val="none" w:sz="0" w:space="0" w:color="auto"/>
                                        <w:left w:val="none" w:sz="0" w:space="0" w:color="auto"/>
                                        <w:bottom w:val="none" w:sz="0" w:space="0" w:color="auto"/>
                                        <w:right w:val="none" w:sz="0" w:space="0" w:color="auto"/>
                                      </w:divBdr>
                                    </w:div>
                                    <w:div w:id="6097041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73590">
      <w:bodyDiv w:val="1"/>
      <w:marLeft w:val="0"/>
      <w:marRight w:val="0"/>
      <w:marTop w:val="0"/>
      <w:marBottom w:val="0"/>
      <w:divBdr>
        <w:top w:val="none" w:sz="0" w:space="0" w:color="auto"/>
        <w:left w:val="none" w:sz="0" w:space="0" w:color="auto"/>
        <w:bottom w:val="none" w:sz="0" w:space="0" w:color="auto"/>
        <w:right w:val="none" w:sz="0" w:space="0" w:color="auto"/>
      </w:divBdr>
    </w:div>
    <w:div w:id="1629164041">
      <w:bodyDiv w:val="1"/>
      <w:marLeft w:val="0"/>
      <w:marRight w:val="0"/>
      <w:marTop w:val="0"/>
      <w:marBottom w:val="0"/>
      <w:divBdr>
        <w:top w:val="none" w:sz="0" w:space="0" w:color="auto"/>
        <w:left w:val="none" w:sz="0" w:space="0" w:color="auto"/>
        <w:bottom w:val="none" w:sz="0" w:space="0" w:color="auto"/>
        <w:right w:val="none" w:sz="0" w:space="0" w:color="auto"/>
      </w:divBdr>
    </w:div>
    <w:div w:id="1832286813">
      <w:bodyDiv w:val="1"/>
      <w:marLeft w:val="0"/>
      <w:marRight w:val="0"/>
      <w:marTop w:val="0"/>
      <w:marBottom w:val="0"/>
      <w:divBdr>
        <w:top w:val="none" w:sz="0" w:space="0" w:color="auto"/>
        <w:left w:val="none" w:sz="0" w:space="0" w:color="auto"/>
        <w:bottom w:val="none" w:sz="0" w:space="0" w:color="auto"/>
        <w:right w:val="none" w:sz="0" w:space="0" w:color="auto"/>
      </w:divBdr>
    </w:div>
    <w:div w:id="1835416884">
      <w:bodyDiv w:val="1"/>
      <w:marLeft w:val="0"/>
      <w:marRight w:val="0"/>
      <w:marTop w:val="0"/>
      <w:marBottom w:val="0"/>
      <w:divBdr>
        <w:top w:val="none" w:sz="0" w:space="0" w:color="auto"/>
        <w:left w:val="none" w:sz="0" w:space="0" w:color="auto"/>
        <w:bottom w:val="none" w:sz="0" w:space="0" w:color="auto"/>
        <w:right w:val="none" w:sz="0" w:space="0" w:color="auto"/>
      </w:divBdr>
    </w:div>
    <w:div w:id="1852792947">
      <w:bodyDiv w:val="1"/>
      <w:marLeft w:val="0"/>
      <w:marRight w:val="0"/>
      <w:marTop w:val="0"/>
      <w:marBottom w:val="0"/>
      <w:divBdr>
        <w:top w:val="none" w:sz="0" w:space="0" w:color="auto"/>
        <w:left w:val="none" w:sz="0" w:space="0" w:color="auto"/>
        <w:bottom w:val="none" w:sz="0" w:space="0" w:color="auto"/>
        <w:right w:val="none" w:sz="0" w:space="0" w:color="auto"/>
      </w:divBdr>
    </w:div>
    <w:div w:id="1867980357">
      <w:bodyDiv w:val="1"/>
      <w:marLeft w:val="0"/>
      <w:marRight w:val="0"/>
      <w:marTop w:val="0"/>
      <w:marBottom w:val="0"/>
      <w:divBdr>
        <w:top w:val="none" w:sz="0" w:space="0" w:color="auto"/>
        <w:left w:val="none" w:sz="0" w:space="0" w:color="auto"/>
        <w:bottom w:val="none" w:sz="0" w:space="0" w:color="auto"/>
        <w:right w:val="none" w:sz="0" w:space="0" w:color="auto"/>
      </w:divBdr>
    </w:div>
    <w:div w:id="1926764722">
      <w:bodyDiv w:val="1"/>
      <w:marLeft w:val="0"/>
      <w:marRight w:val="0"/>
      <w:marTop w:val="0"/>
      <w:marBottom w:val="0"/>
      <w:divBdr>
        <w:top w:val="none" w:sz="0" w:space="0" w:color="auto"/>
        <w:left w:val="none" w:sz="0" w:space="0" w:color="auto"/>
        <w:bottom w:val="none" w:sz="0" w:space="0" w:color="auto"/>
        <w:right w:val="none" w:sz="0" w:space="0" w:color="auto"/>
      </w:divBdr>
    </w:div>
    <w:div w:id="1954246921">
      <w:bodyDiv w:val="1"/>
      <w:marLeft w:val="0"/>
      <w:marRight w:val="0"/>
      <w:marTop w:val="0"/>
      <w:marBottom w:val="0"/>
      <w:divBdr>
        <w:top w:val="none" w:sz="0" w:space="0" w:color="auto"/>
        <w:left w:val="none" w:sz="0" w:space="0" w:color="auto"/>
        <w:bottom w:val="none" w:sz="0" w:space="0" w:color="auto"/>
        <w:right w:val="none" w:sz="0" w:space="0" w:color="auto"/>
      </w:divBdr>
      <w:divsChild>
        <w:div w:id="643701861">
          <w:marLeft w:val="432"/>
          <w:marRight w:val="0"/>
          <w:marTop w:val="0"/>
          <w:marBottom w:val="120"/>
          <w:divBdr>
            <w:top w:val="none" w:sz="0" w:space="0" w:color="auto"/>
            <w:left w:val="none" w:sz="0" w:space="0" w:color="auto"/>
            <w:bottom w:val="none" w:sz="0" w:space="0" w:color="auto"/>
            <w:right w:val="none" w:sz="0" w:space="0" w:color="auto"/>
          </w:divBdr>
        </w:div>
        <w:div w:id="1978338147">
          <w:marLeft w:val="1008"/>
          <w:marRight w:val="0"/>
          <w:marTop w:val="0"/>
          <w:marBottom w:val="120"/>
          <w:divBdr>
            <w:top w:val="none" w:sz="0" w:space="0" w:color="auto"/>
            <w:left w:val="none" w:sz="0" w:space="0" w:color="auto"/>
            <w:bottom w:val="none" w:sz="0" w:space="0" w:color="auto"/>
            <w:right w:val="none" w:sz="0" w:space="0" w:color="auto"/>
          </w:divBdr>
        </w:div>
        <w:div w:id="124855785">
          <w:marLeft w:val="1008"/>
          <w:marRight w:val="0"/>
          <w:marTop w:val="0"/>
          <w:marBottom w:val="0"/>
          <w:divBdr>
            <w:top w:val="none" w:sz="0" w:space="0" w:color="auto"/>
            <w:left w:val="none" w:sz="0" w:space="0" w:color="auto"/>
            <w:bottom w:val="none" w:sz="0" w:space="0" w:color="auto"/>
            <w:right w:val="none" w:sz="0" w:space="0" w:color="auto"/>
          </w:divBdr>
        </w:div>
      </w:divsChild>
    </w:div>
    <w:div w:id="2041319110">
      <w:bodyDiv w:val="1"/>
      <w:marLeft w:val="0"/>
      <w:marRight w:val="0"/>
      <w:marTop w:val="0"/>
      <w:marBottom w:val="0"/>
      <w:divBdr>
        <w:top w:val="none" w:sz="0" w:space="0" w:color="auto"/>
        <w:left w:val="none" w:sz="0" w:space="0" w:color="auto"/>
        <w:bottom w:val="none" w:sz="0" w:space="0" w:color="auto"/>
        <w:right w:val="none" w:sz="0" w:space="0" w:color="auto"/>
      </w:divBdr>
      <w:divsChild>
        <w:div w:id="298266143">
          <w:marLeft w:val="806"/>
          <w:marRight w:val="0"/>
          <w:marTop w:val="0"/>
          <w:marBottom w:val="120"/>
          <w:divBdr>
            <w:top w:val="none" w:sz="0" w:space="0" w:color="auto"/>
            <w:left w:val="none" w:sz="0" w:space="0" w:color="auto"/>
            <w:bottom w:val="none" w:sz="0" w:space="0" w:color="auto"/>
            <w:right w:val="none" w:sz="0" w:space="0" w:color="auto"/>
          </w:divBdr>
        </w:div>
        <w:div w:id="1629356676">
          <w:marLeft w:val="806"/>
          <w:marRight w:val="0"/>
          <w:marTop w:val="0"/>
          <w:marBottom w:val="120"/>
          <w:divBdr>
            <w:top w:val="none" w:sz="0" w:space="0" w:color="auto"/>
            <w:left w:val="none" w:sz="0" w:space="0" w:color="auto"/>
            <w:bottom w:val="none" w:sz="0" w:space="0" w:color="auto"/>
            <w:right w:val="none" w:sz="0" w:space="0" w:color="auto"/>
          </w:divBdr>
        </w:div>
        <w:div w:id="1820807880">
          <w:marLeft w:val="806"/>
          <w:marRight w:val="0"/>
          <w:marTop w:val="0"/>
          <w:marBottom w:val="120"/>
          <w:divBdr>
            <w:top w:val="none" w:sz="0" w:space="0" w:color="auto"/>
            <w:left w:val="none" w:sz="0" w:space="0" w:color="auto"/>
            <w:bottom w:val="none" w:sz="0" w:space="0" w:color="auto"/>
            <w:right w:val="none" w:sz="0" w:space="0" w:color="auto"/>
          </w:divBdr>
        </w:div>
        <w:div w:id="1724133640">
          <w:marLeft w:val="806"/>
          <w:marRight w:val="0"/>
          <w:marTop w:val="0"/>
          <w:marBottom w:val="120"/>
          <w:divBdr>
            <w:top w:val="none" w:sz="0" w:space="0" w:color="auto"/>
            <w:left w:val="none" w:sz="0" w:space="0" w:color="auto"/>
            <w:bottom w:val="none" w:sz="0" w:space="0" w:color="auto"/>
            <w:right w:val="none" w:sz="0" w:space="0" w:color="auto"/>
          </w:divBdr>
        </w:div>
        <w:div w:id="282031442">
          <w:marLeft w:val="806"/>
          <w:marRight w:val="0"/>
          <w:marTop w:val="0"/>
          <w:marBottom w:val="120"/>
          <w:divBdr>
            <w:top w:val="none" w:sz="0" w:space="0" w:color="auto"/>
            <w:left w:val="none" w:sz="0" w:space="0" w:color="auto"/>
            <w:bottom w:val="none" w:sz="0" w:space="0" w:color="auto"/>
            <w:right w:val="none" w:sz="0" w:space="0" w:color="auto"/>
          </w:divBdr>
        </w:div>
        <w:div w:id="1626035747">
          <w:marLeft w:val="806"/>
          <w:marRight w:val="0"/>
          <w:marTop w:val="0"/>
          <w:marBottom w:val="120"/>
          <w:divBdr>
            <w:top w:val="none" w:sz="0" w:space="0" w:color="auto"/>
            <w:left w:val="none" w:sz="0" w:space="0" w:color="auto"/>
            <w:bottom w:val="none" w:sz="0" w:space="0" w:color="auto"/>
            <w:right w:val="none" w:sz="0" w:space="0" w:color="auto"/>
          </w:divBdr>
        </w:div>
        <w:div w:id="694423186">
          <w:marLeft w:val="806"/>
          <w:marRight w:val="0"/>
          <w:marTop w:val="0"/>
          <w:marBottom w:val="120"/>
          <w:divBdr>
            <w:top w:val="none" w:sz="0" w:space="0" w:color="auto"/>
            <w:left w:val="none" w:sz="0" w:space="0" w:color="auto"/>
            <w:bottom w:val="none" w:sz="0" w:space="0" w:color="auto"/>
            <w:right w:val="none" w:sz="0" w:space="0" w:color="auto"/>
          </w:divBdr>
        </w:div>
      </w:divsChild>
    </w:div>
    <w:div w:id="2107770846">
      <w:bodyDiv w:val="1"/>
      <w:marLeft w:val="0"/>
      <w:marRight w:val="0"/>
      <w:marTop w:val="0"/>
      <w:marBottom w:val="0"/>
      <w:divBdr>
        <w:top w:val="none" w:sz="0" w:space="0" w:color="auto"/>
        <w:left w:val="none" w:sz="0" w:space="0" w:color="auto"/>
        <w:bottom w:val="none" w:sz="0" w:space="0" w:color="auto"/>
        <w:right w:val="none" w:sz="0" w:space="0" w:color="auto"/>
      </w:divBdr>
    </w:div>
    <w:div w:id="2108187713">
      <w:bodyDiv w:val="1"/>
      <w:marLeft w:val="0"/>
      <w:marRight w:val="0"/>
      <w:marTop w:val="0"/>
      <w:marBottom w:val="0"/>
      <w:divBdr>
        <w:top w:val="none" w:sz="0" w:space="0" w:color="auto"/>
        <w:left w:val="none" w:sz="0" w:space="0" w:color="auto"/>
        <w:bottom w:val="none" w:sz="0" w:space="0" w:color="auto"/>
        <w:right w:val="none" w:sz="0" w:space="0" w:color="auto"/>
      </w:divBdr>
      <w:divsChild>
        <w:div w:id="1710688972">
          <w:marLeft w:val="806"/>
          <w:marRight w:val="0"/>
          <w:marTop w:val="0"/>
          <w:marBottom w:val="120"/>
          <w:divBdr>
            <w:top w:val="none" w:sz="0" w:space="0" w:color="auto"/>
            <w:left w:val="none" w:sz="0" w:space="0" w:color="auto"/>
            <w:bottom w:val="none" w:sz="0" w:space="0" w:color="auto"/>
            <w:right w:val="none" w:sz="0" w:space="0" w:color="auto"/>
          </w:divBdr>
        </w:div>
        <w:div w:id="1004935719">
          <w:marLeft w:val="806"/>
          <w:marRight w:val="0"/>
          <w:marTop w:val="0"/>
          <w:marBottom w:val="120"/>
          <w:divBdr>
            <w:top w:val="none" w:sz="0" w:space="0" w:color="auto"/>
            <w:left w:val="none" w:sz="0" w:space="0" w:color="auto"/>
            <w:bottom w:val="none" w:sz="0" w:space="0" w:color="auto"/>
            <w:right w:val="none" w:sz="0" w:space="0" w:color="auto"/>
          </w:divBdr>
        </w:div>
        <w:div w:id="281889131">
          <w:marLeft w:val="806"/>
          <w:marRight w:val="0"/>
          <w:marTop w:val="0"/>
          <w:marBottom w:val="120"/>
          <w:divBdr>
            <w:top w:val="none" w:sz="0" w:space="0" w:color="auto"/>
            <w:left w:val="none" w:sz="0" w:space="0" w:color="auto"/>
            <w:bottom w:val="none" w:sz="0" w:space="0" w:color="auto"/>
            <w:right w:val="none" w:sz="0" w:space="0" w:color="auto"/>
          </w:divBdr>
        </w:div>
        <w:div w:id="1408840407">
          <w:marLeft w:val="806"/>
          <w:marRight w:val="0"/>
          <w:marTop w:val="0"/>
          <w:marBottom w:val="120"/>
          <w:divBdr>
            <w:top w:val="none" w:sz="0" w:space="0" w:color="auto"/>
            <w:left w:val="none" w:sz="0" w:space="0" w:color="auto"/>
            <w:bottom w:val="none" w:sz="0" w:space="0" w:color="auto"/>
            <w:right w:val="none" w:sz="0" w:space="0" w:color="auto"/>
          </w:divBdr>
        </w:div>
        <w:div w:id="1203518509">
          <w:marLeft w:val="806"/>
          <w:marRight w:val="0"/>
          <w:marTop w:val="0"/>
          <w:marBottom w:val="120"/>
          <w:divBdr>
            <w:top w:val="none" w:sz="0" w:space="0" w:color="auto"/>
            <w:left w:val="none" w:sz="0" w:space="0" w:color="auto"/>
            <w:bottom w:val="none" w:sz="0" w:space="0" w:color="auto"/>
            <w:right w:val="none" w:sz="0" w:space="0" w:color="auto"/>
          </w:divBdr>
        </w:div>
        <w:div w:id="1111516360">
          <w:marLeft w:val="806"/>
          <w:marRight w:val="0"/>
          <w:marTop w:val="0"/>
          <w:marBottom w:val="120"/>
          <w:divBdr>
            <w:top w:val="none" w:sz="0" w:space="0" w:color="auto"/>
            <w:left w:val="none" w:sz="0" w:space="0" w:color="auto"/>
            <w:bottom w:val="none" w:sz="0" w:space="0" w:color="auto"/>
            <w:right w:val="none" w:sz="0" w:space="0" w:color="auto"/>
          </w:divBdr>
        </w:div>
      </w:divsChild>
    </w:div>
    <w:div w:id="210995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8112486&amp;pubNum=162&amp;originatingDoc=Ic2232322ac5011e2a160cacff148223f&amp;refType=RP&amp;fi=co_pp_sp_162_635&amp;originationContext=document&amp;transitionType=DocumentItem&amp;contextData=(sc.Search)" TargetMode="External"/><Relationship Id="rId13" Type="http://schemas.openxmlformats.org/officeDocument/2006/relationships/hyperlink" Target="https://advance.lexis.com/document/?pdmfid=1000516&amp;crid=d03f63b4-563c-40b0-a41b-7663bf5969e7&amp;pddocfullpath=%2Fshared%2Fdocument%2Fcases%2Furn%3AcontentItem%3A3RRT-98J0-003G-13J3-00000-00&amp;pddocid=urn%3AcontentItem%3A3RRT-98J0-003G-13J3-00000-00&amp;pdcontentcomponentid=5073&amp;pdshepid=urn%3AcontentItem%3A7XWS-0M41-2NSD-K1RR-00000-00&amp;pdteaserkey=sr3&amp;ecomp=m4ntk&amp;earg=sr3&amp;prid=a3c2bb56-8936-486c-b183-84f2bccf9fc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api/document?collection=cases&amp;id=urn:contentItem:3RRT-9B60-003G-13TW-00000-00&amp;contex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api/document?collection=cases&amp;id=urn:contentItem:3RRT-9FF0-003G-14CF-00000-00&amp;contex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vance.lexis.com/api/document?collection=cases&amp;id=urn:contentItem:3RRT-9FF0-003G-14CF-00000-00&amp;context="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1999084423&amp;pubNum=0000708&amp;originatingDoc=I4b26e57097f911e6b8b9e1ce282dafae&amp;refType=RP&amp;originationContext=document&amp;transitionType=DocumentItem&amp;contextData=(sc.UserEnteredCitation)" TargetMode="External"/><Relationship Id="rId14" Type="http://schemas.openxmlformats.org/officeDocument/2006/relationships/hyperlink" Target="mailto:dscialpi@patrickmalonelaw.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cases&amp;id=urn:contentItem:3S4W-TN30-0039-Y0X6-00000-00&amp;context=" TargetMode="External"/><Relationship Id="rId2" Type="http://schemas.openxmlformats.org/officeDocument/2006/relationships/hyperlink" Target="https://advance.lexis.com/api/document?collection=cases&amp;id=urn:contentItem:3S4W-TN30-0039-Y0X6-00000-00&amp;context=" TargetMode="External"/><Relationship Id="rId1" Type="http://schemas.openxmlformats.org/officeDocument/2006/relationships/hyperlink" Target="https://advance.lexis.com/document/?pdmfid=1000516&amp;crid=d03f63b4-563c-40b0-a41b-7663bf5969e7&amp;pddocfullpath=%2Fshared%2Fdocument%2Fcases%2Furn%3AcontentItem%3A3RRT-98J0-003G-13J3-00000-00&amp;pddocid=urn%3AcontentItem%3A3RRT-98J0-003G-13J3-00000-00&amp;pdcontentcomponentid=5073&amp;pdshepid=urn%3AcontentItem%3A7XWS-0M41-2NSD-K1RR-00000-00&amp;pdteaserkey=sr3&amp;ecomp=m4ntk&amp;earg=sr3&amp;prid=a3c2bb56-8936-486c-b183-84f2bccf9fcf" TargetMode="External"/><Relationship Id="rId4" Type="http://schemas.openxmlformats.org/officeDocument/2006/relationships/hyperlink" Target="https://advance.lexis.com/api/document?collection=cases&amp;id=urn:contentItem:3RRT-B800-003G-13S6-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091A-10E2-4677-9D91-BD33CF72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26</Pages>
  <Words>6868</Words>
  <Characters>39153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Patrick Malone &amp; Associates</Company>
  <LinksUpToDate>false</LinksUpToDate>
  <CharactersWithSpaces>45930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Malone</dc:creator>
  <cp:lastModifiedBy>Daniel Scialpi</cp:lastModifiedBy>
  <cp:revision>39</cp:revision>
  <cp:lastPrinted>2017-07-17T13:52:00Z</cp:lastPrinted>
  <dcterms:created xsi:type="dcterms:W3CDTF">2018-12-11T20:57:00Z</dcterms:created>
  <dcterms:modified xsi:type="dcterms:W3CDTF">2018-12-12T20:11:00Z</dcterms:modified>
</cp:coreProperties>
</file>